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gloo-20260706.htm"/>
      <w:bookmarkStart w:id="1" w:name="ksgloo20260706"/>
      <w:bookmarkEnd w:id="0"/>
      <w:bookmarkEnd w:id="1"/>
      <w:r>
        <w:rPr/>
        <w:t> </w:t>
      </w:r>
    </w:p>
    <w:p>
      <w:pPr>
        <w:pStyle w:val="TextBody"/>
        <w:bidi w:val="0"/>
        <w:jc w:val="center"/>
        <w:rPr/>
      </w:pPr>
      <w:r>
        <w:rPr/>
        <w:t> </w:t>
      </w:r>
    </w:p>
    <w:p>
      <w:pPr>
        <w:pStyle w:val="TextBody"/>
        <w:bidi w:val="0"/>
        <w:jc w:val="center"/>
        <w:rPr/>
      </w:pPr>
      <w:r>
        <w:rPr/>
        <w:t> </w:t>
      </w:r>
    </w:p>
    <w:p>
      <w:pPr>
        <w:pStyle w:val="TextBody"/>
        <w:bidi w:val="0"/>
        <w:spacing w:before="20" w:after="20"/>
        <w:jc w:val="center"/>
        <w:rPr>
          <w:rFonts w:ascii="Times New Roman" w:hAnsi="Times New Roman"/>
          <w:b/>
          <w:color w:val="000000"/>
          <w:sz w:val="14"/>
        </w:rPr>
      </w:pPr>
      <w:r>
        <w:rPr>
          <w:rFonts w:ascii="Times New Roman" w:hAnsi="Times New Roman"/>
          <w:b/>
          <w:color w:val="000000"/>
          <w:sz w:val="14"/>
        </w:rPr>
        <w:t>As filed with the Securities and Exchange Commission on July 6, 2026</w:t>
      </w:r>
    </w:p>
    <w:p>
      <w:pPr>
        <w:pStyle w:val="TextBody"/>
        <w:bidi w:val="0"/>
        <w:spacing w:before="0" w:after="20"/>
        <w:jc w:val="right"/>
        <w:rPr/>
      </w:pPr>
      <w:r>
        <w:rPr/>
        <w:t> </w:t>
      </w:r>
    </w:p>
    <w:p>
      <w:pPr>
        <w:pStyle w:val="TextBody"/>
        <w:bidi w:val="0"/>
        <w:spacing w:before="0" w:after="20"/>
        <w:jc w:val="right"/>
        <w:rPr>
          <w:rFonts w:ascii="Times New Roman" w:hAnsi="Times New Roman"/>
          <w:b/>
          <w:color w:val="000000"/>
          <w:sz w:val="14"/>
        </w:rPr>
      </w:pPr>
      <w:r>
        <w:rPr>
          <w:rFonts w:ascii="Times New Roman" w:hAnsi="Times New Roman"/>
          <w:b/>
          <w:color w:val="000000"/>
          <w:sz w:val="14"/>
        </w:rPr>
        <w:t>Registration No. 333-296949</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AMENDMENT NO. 1 TO</w:t>
      </w:r>
    </w:p>
    <w:p>
      <w:pPr>
        <w:pStyle w:val="TextBody"/>
        <w:bidi w:val="0"/>
        <w:jc w:val="center"/>
        <w:rPr>
          <w:rFonts w:ascii="Times New Roman" w:hAnsi="Times New Roman"/>
          <w:b/>
          <w:color w:val="000000"/>
          <w:sz w:val="24"/>
        </w:rPr>
      </w:pPr>
      <w:r>
        <w:rPr>
          <w:rFonts w:ascii="Times New Roman" w:hAnsi="Times New Roman"/>
          <w:b/>
          <w:color w:val="000000"/>
          <w:sz w:val="24"/>
        </w:rPr>
        <w:t>FORM S</w:t>
        <w:noBreakHyphen/>
        <w:t>1</w:t>
      </w:r>
    </w:p>
    <w:p>
      <w:pPr>
        <w:pStyle w:val="TextBody"/>
        <w:bidi w:val="0"/>
        <w:jc w:val="center"/>
        <w:rPr>
          <w:rFonts w:ascii="Times New Roman" w:hAnsi="Times New Roman"/>
          <w:color w:val="000000"/>
          <w:sz w:val="16"/>
        </w:rPr>
      </w:pPr>
      <w:r>
        <w:rPr>
          <w:rFonts w:ascii="Times New Roman" w:hAnsi="Times New Roman"/>
          <w:color w:val="000000"/>
          <w:sz w:val="16"/>
        </w:rPr>
        <w:t>REGISTRATION STATEMENT</w:t>
      </w:r>
    </w:p>
    <w:p>
      <w:pPr>
        <w:pStyle w:val="TextBody"/>
        <w:bidi w:val="0"/>
        <w:jc w:val="center"/>
        <w:rPr>
          <w:rFonts w:ascii="Times New Roman" w:hAnsi="Times New Roman"/>
          <w:caps/>
          <w:color w:val="000000"/>
          <w:sz w:val="16"/>
        </w:rPr>
      </w:pPr>
      <w:r>
        <w:rPr>
          <w:rFonts w:ascii="Times New Roman" w:hAnsi="Times New Roman"/>
          <w:caps/>
          <w:color w:val="000000"/>
          <w:sz w:val="16"/>
        </w:rPr>
        <w:t>Under</w:t>
      </w:r>
    </w:p>
    <w:p>
      <w:pPr>
        <w:pStyle w:val="TextBody"/>
        <w:bidi w:val="0"/>
        <w:jc w:val="center"/>
        <w:rPr>
          <w:rFonts w:ascii="Times New Roman" w:hAnsi="Times New Roman"/>
          <w:caps/>
          <w:color w:val="000000"/>
          <w:sz w:val="16"/>
        </w:rPr>
      </w:pPr>
      <w:r>
        <w:rPr>
          <w:rFonts w:ascii="Times New Roman" w:hAnsi="Times New Roman"/>
          <w:caps/>
          <w:color w:val="000000"/>
          <w:sz w:val="16"/>
        </w:rPr>
        <w:t>The Securities Act of 1933</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GLOO HOLDINGS, INC.</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left"/>
        <w:rPr/>
      </w:pPr>
      <w:r>
        <w:rPr/>
        <w:t> </w:t>
      </w:r>
    </w:p>
    <w:p>
      <w:pPr>
        <w:pStyle w:val="TextBody"/>
        <w:pBdr>
          <w:top w:val="single" w:sz="6" w:space="1" w:color="000000"/>
        </w:pBdr>
        <w:bidi w:val="0"/>
        <w:jc w:val="left"/>
        <w:rPr/>
      </w:pPr>
      <w:r>
        <w:rPr/>
        <w:t> </w:t>
      </w:r>
    </w:p>
    <w:tbl>
      <w:tblPr>
        <w:tblW w:w="8148" w:type="dxa"/>
        <w:jc w:val="left"/>
        <w:tblInd w:w="0" w:type="dxa"/>
        <w:tblLayout w:type="fixed"/>
        <w:tblCellMar>
          <w:top w:w="28" w:type="dxa"/>
          <w:left w:w="28" w:type="dxa"/>
          <w:bottom w:w="28" w:type="dxa"/>
          <w:right w:w="28" w:type="dxa"/>
        </w:tblCellMar>
      </w:tblPr>
      <w:tblGrid>
        <w:gridCol w:w="4291"/>
        <w:gridCol w:w="2101"/>
        <w:gridCol w:w="1756"/>
      </w:tblGrid>
      <w:tr>
        <w:trPr/>
        <w:tc>
          <w:tcPr>
            <w:tcW w:w="429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42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Delaware</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21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7374</w:t>
            </w:r>
          </w:p>
          <w:p>
            <w:pPr>
              <w:pStyle w:val="TableContents"/>
              <w:bidi w:val="0"/>
              <w:jc w:val="center"/>
              <w:rPr>
                <w:rFonts w:ascii="Times New Roman" w:hAnsi="Times New Roman"/>
                <w:color w:val="000000"/>
                <w:sz w:val="16"/>
              </w:rPr>
            </w:pPr>
            <w:r>
              <w:rPr>
                <w:rFonts w:ascii="Times New Roman" w:hAnsi="Times New Roman"/>
                <w:color w:val="000000"/>
                <w:sz w:val="16"/>
              </w:rPr>
              <w:t>(Primary Standard Industrial</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Classification Code Number)</w:t>
            </w:r>
          </w:p>
        </w:tc>
        <w:tc>
          <w:tcPr>
            <w:tcW w:w="17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39-2250711</w:t>
            </w:r>
          </w:p>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Number)</w:t>
            </w:r>
          </w:p>
        </w:tc>
      </w:tr>
    </w:tbl>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831 Pearl Street</w:t>
      </w:r>
    </w:p>
    <w:p>
      <w:pPr>
        <w:pStyle w:val="TextBody"/>
        <w:bidi w:val="0"/>
        <w:jc w:val="center"/>
        <w:rPr>
          <w:rFonts w:ascii="Times New Roman" w:hAnsi="Times New Roman"/>
          <w:b/>
          <w:color w:val="000000"/>
          <w:sz w:val="16"/>
        </w:rPr>
      </w:pPr>
      <w:r>
        <w:rPr>
          <w:rFonts w:ascii="Times New Roman" w:hAnsi="Times New Roman"/>
          <w:b/>
          <w:color w:val="000000"/>
          <w:sz w:val="16"/>
        </w:rPr>
        <w:t>Boulder, Colorado 80302</w:t>
      </w:r>
    </w:p>
    <w:p>
      <w:pPr>
        <w:pStyle w:val="TextBody"/>
        <w:bidi w:val="0"/>
        <w:jc w:val="center"/>
        <w:rPr>
          <w:rFonts w:ascii="Times New Roman" w:hAnsi="Times New Roman"/>
          <w:b/>
          <w:color w:val="000000"/>
          <w:sz w:val="16"/>
        </w:rPr>
      </w:pPr>
      <w:r>
        <w:rPr>
          <w:rFonts w:ascii="Times New Roman" w:hAnsi="Times New Roman"/>
          <w:b/>
          <w:color w:val="000000"/>
          <w:sz w:val="16"/>
        </w:rPr>
        <w:t>(303) 381-2645</w:t>
      </w:r>
    </w:p>
    <w:p>
      <w:pPr>
        <w:pStyle w:val="TextBody"/>
        <w:bidi w:val="0"/>
        <w:jc w:val="center"/>
        <w:rPr>
          <w:rFonts w:ascii="Times New Roman" w:hAnsi="Times New Roman"/>
          <w:color w:val="000000"/>
          <w:sz w:val="16"/>
        </w:rPr>
      </w:pPr>
      <w:r>
        <w:rPr>
          <w:rFonts w:ascii="Times New Roman" w:hAnsi="Times New Roman"/>
          <w:color w:val="000000"/>
          <w:sz w:val="16"/>
        </w:rPr>
        <w:t>(Address, including zip code, and telephone number, including area code, of registrant’s principal executive offices)</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Scott Beck</w:t>
      </w:r>
    </w:p>
    <w:p>
      <w:pPr>
        <w:pStyle w:val="TextBody"/>
        <w:bidi w:val="0"/>
        <w:jc w:val="center"/>
        <w:rPr>
          <w:rFonts w:ascii="Times New Roman" w:hAnsi="Times New Roman"/>
          <w:b/>
          <w:color w:val="000000"/>
          <w:sz w:val="16"/>
        </w:rPr>
      </w:pPr>
      <w:r>
        <w:rPr>
          <w:rFonts w:ascii="Times New Roman" w:hAnsi="Times New Roman"/>
          <w:b/>
          <w:color w:val="000000"/>
          <w:sz w:val="16"/>
        </w:rPr>
        <w:t>President and Chief Executive Officer</w:t>
      </w:r>
    </w:p>
    <w:p>
      <w:pPr>
        <w:pStyle w:val="TextBody"/>
        <w:bidi w:val="0"/>
        <w:jc w:val="center"/>
        <w:rPr>
          <w:rFonts w:ascii="Times New Roman" w:hAnsi="Times New Roman"/>
          <w:b/>
          <w:color w:val="000000"/>
          <w:sz w:val="16"/>
        </w:rPr>
      </w:pPr>
      <w:r>
        <w:rPr>
          <w:rFonts w:ascii="Times New Roman" w:hAnsi="Times New Roman"/>
          <w:b/>
          <w:color w:val="000000"/>
          <w:sz w:val="16"/>
        </w:rPr>
        <w:t>831 Pearl Street</w:t>
      </w:r>
    </w:p>
    <w:p>
      <w:pPr>
        <w:pStyle w:val="TextBody"/>
        <w:bidi w:val="0"/>
        <w:jc w:val="center"/>
        <w:rPr>
          <w:rFonts w:ascii="Times New Roman" w:hAnsi="Times New Roman"/>
          <w:b/>
          <w:color w:val="000000"/>
          <w:sz w:val="16"/>
        </w:rPr>
      </w:pPr>
      <w:r>
        <w:rPr>
          <w:rFonts w:ascii="Times New Roman" w:hAnsi="Times New Roman"/>
          <w:b/>
          <w:color w:val="000000"/>
          <w:sz w:val="16"/>
        </w:rPr>
        <w:t>Boulder, Colorado 80302</w:t>
      </w:r>
    </w:p>
    <w:p>
      <w:pPr>
        <w:pStyle w:val="TextBody"/>
        <w:bidi w:val="0"/>
        <w:jc w:val="center"/>
        <w:rPr>
          <w:rFonts w:ascii="Times New Roman" w:hAnsi="Times New Roman"/>
          <w:b/>
          <w:color w:val="000000"/>
          <w:sz w:val="16"/>
        </w:rPr>
      </w:pPr>
      <w:r>
        <w:rPr>
          <w:rFonts w:ascii="Times New Roman" w:hAnsi="Times New Roman"/>
          <w:b/>
          <w:color w:val="000000"/>
          <w:sz w:val="16"/>
        </w:rPr>
        <w:t>(303) 381-2645</w:t>
      </w:r>
    </w:p>
    <w:p>
      <w:pPr>
        <w:pStyle w:val="TextBody"/>
        <w:bidi w:val="0"/>
        <w:jc w:val="center"/>
        <w:rPr>
          <w:rFonts w:ascii="Times New Roman" w:hAnsi="Times New Roman"/>
          <w:color w:val="000000"/>
          <w:sz w:val="16"/>
        </w:rPr>
      </w:pPr>
      <w:r>
        <w:rPr>
          <w:rFonts w:ascii="Times New Roman" w:hAnsi="Times New Roman"/>
          <w:color w:val="000000"/>
          <w:sz w:val="16"/>
        </w:rPr>
        <w:t>(Name, address, including zip code, and telephone number, including area code, of agent for service)</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i/>
          <w:color w:val="000000"/>
          <w:sz w:val="16"/>
        </w:rPr>
      </w:pPr>
      <w:r>
        <w:rPr>
          <w:rFonts w:ascii="Times New Roman" w:hAnsi="Times New Roman"/>
          <w:b/>
          <w:i/>
          <w:color w:val="000000"/>
          <w:sz w:val="16"/>
        </w:rPr>
        <w:t>Copies to:</w:t>
      </w:r>
    </w:p>
    <w:p>
      <w:pPr>
        <w:pStyle w:val="TextBody"/>
        <w:bidi w:val="0"/>
        <w:jc w:val="left"/>
        <w:rPr/>
      </w:pPr>
      <w:r>
        <w:rPr/>
        <w:t> </w:t>
      </w:r>
    </w:p>
    <w:tbl>
      <w:tblPr>
        <w:tblW w:w="7668" w:type="dxa"/>
        <w:jc w:val="left"/>
        <w:tblInd w:w="0" w:type="dxa"/>
        <w:tblLayout w:type="fixed"/>
        <w:tblCellMar>
          <w:top w:w="28" w:type="dxa"/>
          <w:left w:w="28" w:type="dxa"/>
          <w:bottom w:w="28" w:type="dxa"/>
          <w:right w:w="28" w:type="dxa"/>
        </w:tblCellMar>
      </w:tblPr>
      <w:tblGrid>
        <w:gridCol w:w="2656"/>
        <w:gridCol w:w="2371"/>
        <w:gridCol w:w="2641"/>
      </w:tblGrid>
      <w:tr>
        <w:trPr/>
        <w:tc>
          <w:tcPr>
            <w:tcW w:w="265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Matthew Dubofsky</w:t>
            </w:r>
          </w:p>
          <w:p>
            <w:pPr>
              <w:pStyle w:val="TableContents"/>
              <w:bidi w:val="0"/>
              <w:jc w:val="center"/>
              <w:rPr>
                <w:rFonts w:ascii="Times New Roman" w:hAnsi="Times New Roman"/>
                <w:b/>
                <w:color w:val="000000"/>
                <w:sz w:val="16"/>
              </w:rPr>
            </w:pPr>
            <w:r>
              <w:rPr>
                <w:rFonts w:ascii="Times New Roman" w:hAnsi="Times New Roman"/>
                <w:b/>
                <w:color w:val="000000"/>
                <w:sz w:val="16"/>
              </w:rPr>
              <w:t>Victor Nilsson</w:t>
            </w:r>
          </w:p>
          <w:p>
            <w:pPr>
              <w:pStyle w:val="TableContents"/>
              <w:bidi w:val="0"/>
              <w:jc w:val="center"/>
              <w:rPr>
                <w:rFonts w:ascii="Times New Roman" w:hAnsi="Times New Roman"/>
                <w:b/>
                <w:color w:val="000000"/>
                <w:sz w:val="16"/>
              </w:rPr>
            </w:pPr>
            <w:r>
              <w:rPr>
                <w:rFonts w:ascii="Times New Roman" w:hAnsi="Times New Roman"/>
                <w:b/>
                <w:color w:val="000000"/>
                <w:sz w:val="16"/>
              </w:rPr>
              <w:t>Wilson Sonsini Goodrich &amp; Rosati,</w:t>
            </w:r>
          </w:p>
          <w:p>
            <w:pPr>
              <w:pStyle w:val="TableContents"/>
              <w:bidi w:val="0"/>
              <w:jc w:val="center"/>
              <w:rPr>
                <w:rFonts w:ascii="Times New Roman" w:hAnsi="Times New Roman"/>
                <w:b/>
                <w:color w:val="000000"/>
                <w:sz w:val="16"/>
              </w:rPr>
            </w:pPr>
            <w:r>
              <w:rPr>
                <w:rFonts w:ascii="Times New Roman" w:hAnsi="Times New Roman"/>
                <w:b/>
                <w:color w:val="000000"/>
                <w:sz w:val="16"/>
              </w:rPr>
              <w:t>Professional Corporation</w:t>
            </w:r>
          </w:p>
          <w:p>
            <w:pPr>
              <w:pStyle w:val="TableContents"/>
              <w:bidi w:val="0"/>
              <w:jc w:val="center"/>
              <w:rPr>
                <w:rFonts w:ascii="Times New Roman" w:hAnsi="Times New Roman"/>
                <w:b/>
                <w:color w:val="000000"/>
                <w:sz w:val="16"/>
              </w:rPr>
            </w:pPr>
            <w:r>
              <w:rPr>
                <w:rFonts w:ascii="Times New Roman" w:hAnsi="Times New Roman"/>
                <w:b/>
                <w:color w:val="000000"/>
                <w:sz w:val="16"/>
              </w:rPr>
              <w:t>1155 Canyon Boulevard, Suite 400</w:t>
            </w:r>
          </w:p>
          <w:p>
            <w:pPr>
              <w:pStyle w:val="TableContents"/>
              <w:bidi w:val="0"/>
              <w:jc w:val="center"/>
              <w:rPr>
                <w:rFonts w:ascii="Times New Roman" w:hAnsi="Times New Roman"/>
                <w:b/>
                <w:color w:val="000000"/>
                <w:sz w:val="16"/>
              </w:rPr>
            </w:pPr>
            <w:r>
              <w:rPr>
                <w:rFonts w:ascii="Times New Roman" w:hAnsi="Times New Roman"/>
                <w:b/>
                <w:color w:val="000000"/>
                <w:sz w:val="16"/>
              </w:rPr>
              <w:t>Boulder, CO 80302</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(303) 256-5900</w:t>
            </w:r>
          </w:p>
        </w:tc>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Jeffrey Bojar</w:t>
            </w:r>
          </w:p>
          <w:p>
            <w:pPr>
              <w:pStyle w:val="TableContents"/>
              <w:bidi w:val="0"/>
              <w:jc w:val="center"/>
              <w:rPr>
                <w:rFonts w:ascii="Times New Roman" w:hAnsi="Times New Roman"/>
                <w:b/>
                <w:color w:val="000000"/>
                <w:sz w:val="16"/>
              </w:rPr>
            </w:pPr>
            <w:r>
              <w:rPr>
                <w:rFonts w:ascii="Times New Roman" w:hAnsi="Times New Roman"/>
                <w:b/>
                <w:color w:val="000000"/>
                <w:sz w:val="16"/>
              </w:rPr>
              <w:t>General Counsel and Secretary</w:t>
            </w:r>
          </w:p>
          <w:p>
            <w:pPr>
              <w:pStyle w:val="TableContents"/>
              <w:bidi w:val="0"/>
              <w:jc w:val="center"/>
              <w:rPr>
                <w:rFonts w:ascii="Times New Roman" w:hAnsi="Times New Roman"/>
                <w:b/>
                <w:color w:val="000000"/>
                <w:sz w:val="16"/>
              </w:rPr>
            </w:pPr>
            <w:r>
              <w:rPr>
                <w:rFonts w:ascii="Times New Roman" w:hAnsi="Times New Roman"/>
                <w:b/>
                <w:color w:val="000000"/>
                <w:sz w:val="16"/>
              </w:rPr>
              <w:t>Gloo Holdings, Inc.</w:t>
            </w:r>
          </w:p>
          <w:p>
            <w:pPr>
              <w:pStyle w:val="TableContents"/>
              <w:bidi w:val="0"/>
              <w:jc w:val="center"/>
              <w:rPr>
                <w:rFonts w:ascii="Times New Roman" w:hAnsi="Times New Roman"/>
                <w:b/>
                <w:color w:val="000000"/>
                <w:sz w:val="16"/>
              </w:rPr>
            </w:pPr>
            <w:r>
              <w:rPr>
                <w:rFonts w:ascii="Times New Roman" w:hAnsi="Times New Roman"/>
                <w:b/>
                <w:color w:val="000000"/>
                <w:sz w:val="16"/>
              </w:rPr>
              <w:t>831 Pearl Street</w:t>
            </w:r>
          </w:p>
          <w:p>
            <w:pPr>
              <w:pStyle w:val="TableContents"/>
              <w:bidi w:val="0"/>
              <w:jc w:val="center"/>
              <w:rPr>
                <w:rFonts w:ascii="Times New Roman" w:hAnsi="Times New Roman"/>
                <w:b/>
                <w:color w:val="000000"/>
                <w:sz w:val="16"/>
              </w:rPr>
            </w:pPr>
            <w:r>
              <w:rPr>
                <w:rFonts w:ascii="Times New Roman" w:hAnsi="Times New Roman"/>
                <w:b/>
                <w:color w:val="000000"/>
                <w:sz w:val="16"/>
              </w:rPr>
              <w:t>Boulder, Colorado 80302</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(303) 381-2645</w:t>
            </w:r>
          </w:p>
        </w:tc>
        <w:tc>
          <w:tcPr>
            <w:tcW w:w="26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Constantine Karides</w:t>
            </w:r>
          </w:p>
          <w:p>
            <w:pPr>
              <w:pStyle w:val="TableContents"/>
              <w:bidi w:val="0"/>
              <w:jc w:val="center"/>
              <w:rPr>
                <w:rFonts w:ascii="Times New Roman" w:hAnsi="Times New Roman"/>
                <w:b/>
                <w:color w:val="000000"/>
                <w:sz w:val="16"/>
              </w:rPr>
            </w:pPr>
            <w:r>
              <w:rPr>
                <w:rFonts w:ascii="Times New Roman" w:hAnsi="Times New Roman"/>
                <w:b/>
                <w:color w:val="000000"/>
                <w:sz w:val="16"/>
              </w:rPr>
              <w:t>Anne G. Peetz</w:t>
            </w:r>
          </w:p>
          <w:p>
            <w:pPr>
              <w:pStyle w:val="TableContents"/>
              <w:bidi w:val="0"/>
              <w:jc w:val="center"/>
              <w:rPr>
                <w:rFonts w:ascii="Times New Roman" w:hAnsi="Times New Roman"/>
                <w:b/>
                <w:color w:val="000000"/>
                <w:sz w:val="16"/>
              </w:rPr>
            </w:pPr>
            <w:r>
              <w:rPr>
                <w:rFonts w:ascii="Times New Roman" w:hAnsi="Times New Roman"/>
                <w:b/>
                <w:color w:val="000000"/>
                <w:sz w:val="16"/>
              </w:rPr>
              <w:t>Reed Smith LLP</w:t>
            </w:r>
          </w:p>
          <w:p>
            <w:pPr>
              <w:pStyle w:val="TableContents"/>
              <w:bidi w:val="0"/>
              <w:jc w:val="center"/>
              <w:rPr>
                <w:rFonts w:ascii="Times New Roman" w:hAnsi="Times New Roman"/>
                <w:b/>
                <w:color w:val="000000"/>
                <w:sz w:val="16"/>
              </w:rPr>
            </w:pPr>
            <w:r>
              <w:rPr>
                <w:rFonts w:ascii="Times New Roman" w:hAnsi="Times New Roman"/>
                <w:b/>
                <w:color w:val="000000"/>
                <w:sz w:val="16"/>
              </w:rPr>
              <w:t>1221 McKinney Street, Suite 2100</w:t>
            </w:r>
          </w:p>
          <w:p>
            <w:pPr>
              <w:pStyle w:val="TableContents"/>
              <w:bidi w:val="0"/>
              <w:jc w:val="center"/>
              <w:rPr>
                <w:rFonts w:ascii="Times New Roman" w:hAnsi="Times New Roman"/>
                <w:b/>
                <w:color w:val="000000"/>
                <w:sz w:val="16"/>
              </w:rPr>
            </w:pPr>
            <w:r>
              <w:rPr>
                <w:rFonts w:ascii="Times New Roman" w:hAnsi="Times New Roman"/>
                <w:b/>
                <w:color w:val="000000"/>
                <w:sz w:val="16"/>
              </w:rPr>
              <w:t>Houston, Texas 77010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(713) 469-3800</w:t>
            </w:r>
          </w:p>
        </w:tc>
      </w:tr>
    </w:tbl>
    <w:p>
      <w:pPr>
        <w:pStyle w:val="TextBody"/>
        <w:bidi w:val="0"/>
        <w:jc w:val="center"/>
        <w:rPr/>
      </w:pPr>
      <w:r>
        <w:rPr/>
        <w:t> </w:t>
      </w:r>
    </w:p>
    <w:p>
      <w:pPr>
        <w:pStyle w:val="TextBody"/>
        <w:pBdr>
          <w:top w:val="single" w:sz="6" w:space="1" w:color="000000"/>
        </w:pBdr>
        <w:bidi w:val="0"/>
        <w:jc w:val="center"/>
        <w:rPr/>
      </w:pPr>
      <w:r>
        <w:rPr/>
        <w:t> </w:t>
      </w:r>
    </w:p>
    <w:p>
      <w:pPr>
        <w:pStyle w:val="TextBody"/>
        <w:bidi w:val="0"/>
        <w:jc w:val="left"/>
        <w:rPr>
          <w:rFonts w:ascii="Times New Roman" w:hAnsi="Times New Roman"/>
          <w:sz w:val="20"/>
        </w:rPr>
      </w:pPr>
      <w:r>
        <w:rPr>
          <w:rFonts w:ascii="Times New Roman" w:hAnsi="Times New Roman"/>
          <w:b/>
          <w:color w:val="000000"/>
          <w:sz w:val="16"/>
        </w:rPr>
        <w:t>Approximate date of commencement of proposed sale to the public</w:t>
      </w:r>
      <w:r>
        <w:rPr>
          <w:rFonts w:ascii="Times New Roman" w:hAnsi="Times New Roman"/>
          <w:color w:val="000000"/>
          <w:sz w:val="16"/>
        </w:rPr>
        <w:t>: As soon as practicable after this registration statement becomes effective.</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If any of the securities being registered on this Form are to be offered on a delayed or continuous basis pursuant to Rule 415 under the Securities Act of 1933 check the following box: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w:t>
        <w:br/>
        <w:t>offering. ☐</w:t>
      </w:r>
    </w:p>
    <w:p>
      <w:pPr>
        <w:pStyle w:val="TextBody"/>
        <w:bidi w:val="0"/>
        <w:spacing w:before="60" w:after="283"/>
        <w:jc w:val="left"/>
        <w:rPr>
          <w:rFonts w:ascii="Times New Roman" w:hAnsi="Times New Roman"/>
          <w:sz w:val="20"/>
        </w:rPr>
      </w:pPr>
      <w:r>
        <w:rPr>
          <w:rFonts w:ascii="Times New Roman" w:hAnsi="Times New Roman"/>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60" w:type="dxa"/>
        <w:jc w:val="left"/>
        <w:tblInd w:w="0" w:type="dxa"/>
        <w:tblLayout w:type="fixed"/>
        <w:tblCellMar>
          <w:top w:w="28" w:type="dxa"/>
          <w:left w:w="28" w:type="dxa"/>
          <w:bottom w:w="28" w:type="dxa"/>
          <w:right w:w="28" w:type="dxa"/>
        </w:tblCellMar>
      </w:tblPr>
      <w:tblGrid>
        <w:gridCol w:w="1711"/>
        <w:gridCol w:w="316"/>
        <w:gridCol w:w="146"/>
        <w:gridCol w:w="2026"/>
        <w:gridCol w:w="361"/>
      </w:tblGrid>
      <w:tr>
        <w:trPr/>
        <w:tc>
          <w:tcPr>
            <w:tcW w:w="17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Large accelerated filer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Accelerated filer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Non-accelerated filer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jc w:val="left"/>
        <w:rPr/>
      </w:pPr>
      <w:r>
        <w:rPr/>
        <w:t> </w:t>
      </w:r>
    </w:p>
    <w:p>
      <w:pPr>
        <w:pStyle w:val="TextBody"/>
        <w:pBdr>
          <w:top w:val="single" w:sz="6" w:space="1" w:color="000000"/>
        </w:pBdr>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FF0000"/>
                <w:sz w:val="18"/>
              </w:rPr>
            </w:pPr>
            <w:r>
              <w:rPr>
                <w:rFonts w:ascii="Times New Roman" w:hAnsi="Times New Roman"/>
                <w:color w:val="FF0000"/>
                <w:sz w:val="18"/>
              </w:rPr>
              <w:t>The information contained in this preliminary prospectus is not complete and may be changed. These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tc>
      </w:tr>
    </w:tbl>
    <w:p>
      <w:pPr>
        <w:pStyle w:val="TextBody"/>
        <w:bidi w:val="0"/>
        <w:jc w:val="left"/>
        <w:rPr/>
      </w:pPr>
      <w:r>
        <w:rPr/>
        <w:t> </w:t>
      </w:r>
    </w:p>
    <w:p>
      <w:pPr>
        <w:pStyle w:val="TextBody"/>
        <w:bidi w:val="0"/>
        <w:jc w:val="left"/>
        <w:rPr>
          <w:rFonts w:ascii="Times New Roman" w:hAnsi="Times New Roman"/>
          <w:color w:val="FF0000"/>
          <w:sz w:val="18"/>
        </w:rPr>
      </w:pPr>
      <w:r>
        <w:rPr>
          <w:rFonts w:ascii="Times New Roman" w:hAnsi="Times New Roman"/>
          <w:color w:val="FF0000"/>
          <w:sz w:val="18"/>
        </w:rPr>
        <w:t>PROSPECTUS (Subject to Completion)</w:t>
      </w:r>
    </w:p>
    <w:p>
      <w:pPr>
        <w:pStyle w:val="TextBody"/>
        <w:bidi w:val="0"/>
        <w:jc w:val="left"/>
        <w:rPr>
          <w:rFonts w:ascii="Times New Roman" w:hAnsi="Times New Roman"/>
          <w:color w:val="FF0000"/>
          <w:sz w:val="18"/>
        </w:rPr>
      </w:pPr>
      <w:r>
        <w:rPr>
          <w:rFonts w:ascii="Times New Roman" w:hAnsi="Times New Roman"/>
          <w:color w:val="FF0000"/>
          <w:sz w:val="18"/>
        </w:rPr>
        <w:t>Dated July 6, 2026</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7,000,000 Shares</w:t>
      </w:r>
    </w:p>
    <w:p>
      <w:pPr>
        <w:pStyle w:val="TextBody"/>
        <w:bidi w:val="0"/>
        <w:jc w:val="center"/>
        <w:rPr/>
      </w:pPr>
      <w:r>
        <w:rPr/>
        <w:drawing>
          <wp:inline distT="0" distB="0" distL="0" distR="0">
            <wp:extent cx="14668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819150"/>
                    </a:xfrm>
                    <a:prstGeom prst="rect">
                      <a:avLst/>
                    </a:prstGeom>
                  </pic:spPr>
                </pic:pic>
              </a:graphicData>
            </a:graphic>
          </wp:inline>
        </w:drawing>
      </w:r>
    </w:p>
    <w:p>
      <w:pPr>
        <w:pStyle w:val="TextBody"/>
        <w:bidi w:val="0"/>
        <w:jc w:val="center"/>
        <w:rPr>
          <w:rFonts w:ascii="Times New Roman" w:hAnsi="Times New Roman"/>
          <w:b/>
          <w:color w:val="000000"/>
          <w:sz w:val="24"/>
        </w:rPr>
      </w:pPr>
      <w:r>
        <w:rPr>
          <w:rFonts w:ascii="Times New Roman" w:hAnsi="Times New Roman"/>
          <w:b/>
          <w:color w:val="000000"/>
          <w:sz w:val="24"/>
        </w:rPr>
        <w:t>Gloo Holdings, Inc.</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Class A Common Stock</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We are offering 7,000,000 shares of our Class A common stock. Our Class A common stock is listed on the Nasdaq Global Select Market (“Nasdaq”) under the symbol “GLOO.” On July 2, 2026, the last reported sale price of our Class A common stock on Nasdaq was $4.44 per share. The final public offering price will be determined through negotiation between us and the underwriters, and the recent market price used throughout the prospectus may not be indicative of the actual public offering price.</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We have two classes of authorized common stock, Class A common stock and Class B common stock. The rights of the holders of our Class A common stock and Class B common stock are identical except with respect to voting and conversion rights. Each share of Class A common stock is entitled to one vote per share. Each share of Class B common stock is entitled to ten votes per share and is convertible at any time into one share of Class A common stock. Immediately following the completion of this offering, Scott Beck, our co-founder, president and chief executive officer, will control 53.3% of the voting power of our outstanding capital stock, taking into account the Class B Conversion (as defined herein).</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We are eligible for, but do not intend to take advantage of, the “controlled company” exemption to the corporate governance rules of the Nasdaq Stock Market. See the section titled “Risk Factors—Although we do not expect to rely on the “controlled company” exemption under the rules and regulations of the Nasdaq Stock Market, we have the right to use such exemption and therefore could in the future avail ourselves of certain reduced corporate governance requirements.”</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We are an “emerging growth company” and a “smaller reporting company” as defined under the federal securities laws and, as such, have elected to comply with certain reduced disclosure requirements in this prospectus and may elect to do so in future filings with the Securities and Exchange Commission. See the sections titled “Prospectus Summary—Implications of Being an Emerging Growth Company and a Smaller Reporting Company” and “Risk Factors.”</w:t>
      </w:r>
    </w:p>
    <w:p>
      <w:pPr>
        <w:pStyle w:val="TextBody"/>
        <w:bidi w:val="0"/>
        <w:spacing w:before="100" w:after="283"/>
        <w:jc w:val="both"/>
        <w:rPr>
          <w:rFonts w:ascii="Times New Roman" w:hAnsi="Times New Roman"/>
          <w:b/>
          <w:color w:val="000000"/>
          <w:sz w:val="18"/>
        </w:rPr>
      </w:pPr>
      <w:r>
        <w:rPr>
          <w:rFonts w:ascii="Times New Roman" w:hAnsi="Times New Roman"/>
          <w:b/>
          <w:color w:val="000000"/>
          <w:sz w:val="18"/>
        </w:rPr>
        <w:t>See the section titled “Risk Factors” beginning on page 16 to read about factors you should consider before deciding to invest in shares of our Class A common stock.</w:t>
      </w:r>
    </w:p>
    <w:p>
      <w:pPr>
        <w:pStyle w:val="TextBody"/>
        <w:bidi w:val="0"/>
        <w:spacing w:before="100" w:after="283"/>
        <w:jc w:val="both"/>
        <w:rPr>
          <w:rFonts w:ascii="Times New Roman" w:hAnsi="Times New Roman"/>
          <w:b/>
          <w:color w:val="000000"/>
          <w:sz w:val="18"/>
        </w:rPr>
      </w:pPr>
      <w:r>
        <w:rPr>
          <w:rFonts w:ascii="Times New Roman" w:hAnsi="Times New Roman"/>
          <w:b/>
          <w:color w:val="000000"/>
          <w:sz w:val="18"/>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jc w:val="left"/>
        <w:rPr/>
      </w:pPr>
      <w:r>
        <w:rPr/>
        <w:t> </w:t>
      </w:r>
    </w:p>
    <w:tbl>
      <w:tblPr>
        <w:tblW w:w="7806" w:type="dxa"/>
        <w:jc w:val="left"/>
        <w:tblInd w:w="0" w:type="dxa"/>
        <w:tblLayout w:type="fixed"/>
        <w:tblCellMar>
          <w:top w:w="28" w:type="dxa"/>
          <w:left w:w="28" w:type="dxa"/>
          <w:bottom w:w="28" w:type="dxa"/>
          <w:right w:w="28" w:type="dxa"/>
        </w:tblCellMar>
      </w:tblPr>
      <w:tblGrid>
        <w:gridCol w:w="3691"/>
        <w:gridCol w:w="146"/>
        <w:gridCol w:w="1069"/>
        <w:gridCol w:w="182"/>
        <w:gridCol w:w="638"/>
        <w:gridCol w:w="146"/>
        <w:gridCol w:w="1063"/>
        <w:gridCol w:w="181"/>
        <w:gridCol w:w="690"/>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 Exercise of</w:t>
              <w:br/>
              <w:t>Over-Allotment Option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Full Exercise of</w:t>
              <w:br/>
              <w:t>Over-Allotment Option</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Share</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Share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Public offering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Underwriting discounts and commissions</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before expenses, to Gloo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See the section titled “Underwriting” for a description of the compensation payable to the underwriters.</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We have granted the underwriters an option to purchase up to an additional 1,050,000 shares of our Class A common stock from us at the public offering price, less the underwriting discounts and commissions.</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In addition, Scott Beck, Pat Gelsinger and certain other members of our board of directors and their affiliated entities have indicated their interest in purchasing at least $6.0 million in shares of our Class A common stock being offered in this offering at the public offering price. The underwriters will receive the same discount on any shares of Class A common stock purchased by such persons as they will on any other shares of Class A common stock sold to the public in this offering.</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The underwriters expect to deliver the shares of Class A common stock to the purchasers on or about , 2026.</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The date of this prospectus is , 2026</w:t>
      </w:r>
    </w:p>
    <w:p>
      <w:pPr>
        <w:pStyle w:val="TextBody"/>
        <w:bidi w:val="0"/>
        <w:jc w:val="center"/>
        <w:rPr/>
      </w:pPr>
      <w:r>
        <w:rPr/>
        <w:t> </w:t>
      </w:r>
    </w:p>
    <w:tbl>
      <w:tblPr>
        <w:tblW w:w="6047" w:type="dxa"/>
        <w:jc w:val="left"/>
        <w:tblInd w:w="0" w:type="dxa"/>
        <w:tblLayout w:type="fixed"/>
        <w:tblCellMar>
          <w:top w:w="28" w:type="dxa"/>
          <w:left w:w="28" w:type="dxa"/>
          <w:bottom w:w="28" w:type="dxa"/>
          <w:right w:w="28" w:type="dxa"/>
        </w:tblCellMar>
      </w:tblPr>
      <w:tblGrid>
        <w:gridCol w:w="3166"/>
        <w:gridCol w:w="2881"/>
      </w:tblGrid>
      <w:tr>
        <w:trPr/>
        <w:tc>
          <w:tcPr>
            <w:tcW w:w="316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604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7"/>
              </w:rPr>
            </w:pPr>
            <w:r>
              <w:rPr>
                <w:rFonts w:ascii="Times New Roman" w:hAnsi="Times New Roman"/>
                <w:i/>
                <w:color w:val="000000"/>
                <w:sz w:val="17"/>
              </w:rPr>
              <w:t>Joint Book-Running Managers</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rPr>
            </w:pPr>
            <w:r>
              <w:rPr>
                <w:rFonts w:ascii="Times New Roman" w:hAnsi="Times New Roman"/>
                <w:b/>
                <w:color w:val="000000"/>
                <w:sz w:val="28"/>
              </w:rPr>
              <w:t>Citizens Capital Markets</w:t>
            </w:r>
          </w:p>
        </w:tc>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rPr>
            </w:pPr>
            <w:r>
              <w:rPr>
                <w:rFonts w:ascii="Times New Roman" w:hAnsi="Times New Roman"/>
                <w:b/>
                <w:color w:val="000000"/>
                <w:sz w:val="28"/>
              </w:rPr>
              <w:t>Roth Capital Partners</w:t>
            </w:r>
          </w:p>
        </w:tc>
      </w:tr>
      <w:tr>
        <w:trPr/>
        <w:tc>
          <w:tcPr>
            <w:tcW w:w="604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7"/>
              </w:rPr>
            </w:pPr>
            <w:r>
              <w:rPr>
                <w:rFonts w:ascii="Times New Roman" w:hAnsi="Times New Roman"/>
                <w:i/>
                <w:color w:val="000000"/>
                <w:sz w:val="17"/>
              </w:rPr>
              <w:t>Co-Managers</w:t>
            </w:r>
          </w:p>
        </w:tc>
      </w:tr>
      <w:tr>
        <w:trPr/>
        <w:tc>
          <w:tcPr>
            <w:tcW w:w="3166"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b/>
                <w:color w:val="000000"/>
                <w:sz w:val="19"/>
              </w:rPr>
            </w:pPr>
            <w:r>
              <w:rPr>
                <w:rFonts w:ascii="Times New Roman" w:hAnsi="Times New Roman"/>
                <w:b/>
                <w:color w:val="000000"/>
                <w:sz w:val="19"/>
              </w:rPr>
              <w:t>Benchmark</w:t>
            </w:r>
          </w:p>
          <w:p>
            <w:pPr>
              <w:pStyle w:val="TableContents"/>
              <w:bidi w:val="0"/>
              <w:spacing w:before="40" w:after="283"/>
              <w:jc w:val="center"/>
              <w:rPr>
                <w:rFonts w:ascii="Times New Roman" w:hAnsi="Times New Roman"/>
                <w:color w:val="000000"/>
                <w:sz w:val="19"/>
              </w:rPr>
            </w:pPr>
            <w:r>
              <w:rPr>
                <w:rFonts w:ascii="Times New Roman" w:hAnsi="Times New Roman"/>
                <w:color w:val="000000"/>
                <w:sz w:val="19"/>
              </w:rPr>
              <w:t>a StoneX Company</w:t>
            </w:r>
          </w:p>
        </w:tc>
        <w:tc>
          <w:tcPr>
            <w:tcW w:w="2881"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b/>
                <w:color w:val="000000"/>
                <w:sz w:val="19"/>
              </w:rPr>
            </w:pPr>
            <w:r>
              <w:rPr>
                <w:rFonts w:ascii="Times New Roman" w:hAnsi="Times New Roman"/>
                <w:b/>
                <w:color w:val="000000"/>
                <w:sz w:val="19"/>
              </w:rPr>
              <w:t>Loop Capital Markets</w:t>
            </w:r>
          </w:p>
        </w:tc>
      </w:tr>
    </w:tbl>
    <w:p>
      <w:pPr>
        <w:pStyle w:val="TextBody"/>
        <w:bidi w:val="0"/>
        <w:spacing w:before="0" w:after="283"/>
        <w:jc w:val="left"/>
        <w:rPr/>
      </w:pPr>
      <w:r>
        <w:rPr/>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44"/>
        <w:gridCol w:w="361"/>
      </w:tblGrid>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prospectus_summary">
              <w:r>
                <w:rPr>
                  <w:rStyle w:val="InternetLink"/>
                  <w:rFonts w:ascii="Times New Roman" w:hAnsi="Times New Roman"/>
                  <w:color w:val="0000FF"/>
                  <w:sz w:val="20"/>
                  <w:u w:val="single"/>
                </w:rPr>
                <w:t>PROSPECTUS SUMMARY</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risk_factors">
              <w:r>
                <w:rPr>
                  <w:rStyle w:val="InternetLink"/>
                  <w:rFonts w:ascii="Times New Roman" w:hAnsi="Times New Roman"/>
                  <w:color w:val="0000FF"/>
                  <w:sz w:val="20"/>
                  <w:u w:val="single"/>
                </w:rPr>
                <w:t>RISK FACTORS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18</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note_regarding_forward_looking_statement">
              <w:r>
                <w:rPr>
                  <w:rStyle w:val="InternetLink"/>
                  <w:rFonts w:ascii="Times New Roman" w:hAnsi="Times New Roman"/>
                  <w:color w:val="0000FF"/>
                  <w:sz w:val="20"/>
                  <w:u w:val="single"/>
                </w:rPr>
                <w:t>SPECIAL NOTE REGARDING FORWARD-LOOKING STATEMENTS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51</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use_of_proceeds">
              <w:r>
                <w:rPr>
                  <w:rStyle w:val="InternetLink"/>
                  <w:rFonts w:ascii="Times New Roman" w:hAnsi="Times New Roman"/>
                  <w:color w:val="0000FF"/>
                  <w:sz w:val="20"/>
                  <w:u w:val="single"/>
                </w:rPr>
                <w:t>USE OF PROCEEDS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53</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dividend_policy">
              <w:r>
                <w:rPr>
                  <w:rStyle w:val="InternetLink"/>
                  <w:rFonts w:ascii="Times New Roman" w:hAnsi="Times New Roman"/>
                  <w:color w:val="0000FF"/>
                  <w:sz w:val="20"/>
                  <w:u w:val="single"/>
                </w:rPr>
                <w:t>DIVIDEND POLICY</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54</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dilution">
              <w:r>
                <w:rPr>
                  <w:rStyle w:val="InternetLink"/>
                  <w:rFonts w:ascii="Times New Roman" w:hAnsi="Times New Roman"/>
                  <w:color w:val="0000FF"/>
                  <w:sz w:val="20"/>
                  <w:u w:val="single"/>
                </w:rPr>
                <w:t>DILUTION</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55</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unaudited_pro_forma_informatio">
              <w:r>
                <w:rPr>
                  <w:rStyle w:val="InternetLink"/>
                  <w:rFonts w:ascii="Times New Roman" w:hAnsi="Times New Roman"/>
                  <w:color w:val="0000FF"/>
                  <w:sz w:val="20"/>
                  <w:u w:val="single"/>
                </w:rPr>
                <w:t>UNAUDITED PRO FORMA CONSOLIDATED FINANCIAL INFORMATION</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57</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principal_stockholders">
              <w:r>
                <w:rPr>
                  <w:rStyle w:val="InternetLink"/>
                  <w:rFonts w:ascii="Times New Roman" w:hAnsi="Times New Roman"/>
                  <w:color w:val="0000FF"/>
                  <w:sz w:val="20"/>
                  <w:u w:val="single"/>
                </w:rPr>
                <w:t>PRINCIPAL STOCKHOLDERS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63</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description_of_capital_stock">
              <w:r>
                <w:rPr>
                  <w:rStyle w:val="InternetLink"/>
                  <w:rFonts w:ascii="Times New Roman" w:hAnsi="Times New Roman"/>
                  <w:color w:val="0000FF"/>
                  <w:sz w:val="20"/>
                  <w:u w:val="single"/>
                </w:rPr>
                <w:t>DESCRIPTION OF CAPITAL STOCK</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66</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shares_eligible_for_future_sale">
              <w:r>
                <w:rPr>
                  <w:rStyle w:val="InternetLink"/>
                  <w:rFonts w:ascii="Times New Roman" w:hAnsi="Times New Roman"/>
                  <w:color w:val="0000FF"/>
                  <w:sz w:val="20"/>
                  <w:u w:val="single"/>
                </w:rPr>
                <w:t>SHARES ELIGIBLE FOR FUTURE SALE</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71</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material_us_federal_income_tax_consider">
              <w:r>
                <w:rPr>
                  <w:rStyle w:val="InternetLink"/>
                  <w:rFonts w:ascii="Times New Roman" w:hAnsi="Times New Roman"/>
                  <w:color w:val="0000FF"/>
                  <w:sz w:val="20"/>
                  <w:u w:val="single"/>
                </w:rPr>
                <w:t>MATERIAL U.S. FEDERAL INCOME TAX CONSIDERATIONS FOR NON</w:t>
                <w:noBreakHyphen/>
                <w:t>U.S. HOLDERS OF OUR CLASS A COMMON STOCK</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73</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underwriting">
              <w:r>
                <w:rPr>
                  <w:rStyle w:val="InternetLink"/>
                  <w:rFonts w:ascii="Times New Roman" w:hAnsi="Times New Roman"/>
                  <w:color w:val="0000FF"/>
                  <w:sz w:val="20"/>
                  <w:u w:val="single"/>
                </w:rPr>
                <w:t>UNDERWRITING</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77</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legal_matters">
              <w:r>
                <w:rPr>
                  <w:rStyle w:val="InternetLink"/>
                  <w:rFonts w:ascii="Times New Roman" w:hAnsi="Times New Roman"/>
                  <w:color w:val="0000FF"/>
                  <w:sz w:val="20"/>
                  <w:u w:val="single"/>
                </w:rPr>
                <w:t>LEGAL MATTERS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86</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experts">
              <w:r>
                <w:rPr>
                  <w:rStyle w:val="InternetLink"/>
                  <w:rFonts w:ascii="Times New Roman" w:hAnsi="Times New Roman"/>
                  <w:color w:val="0000FF"/>
                  <w:sz w:val="20"/>
                  <w:u w:val="single"/>
                </w:rPr>
                <w:t>EXPERTS</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86</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where_you_can_find_additional_informatio">
              <w:r>
                <w:rPr>
                  <w:rStyle w:val="InternetLink"/>
                  <w:rFonts w:ascii="Times New Roman" w:hAnsi="Times New Roman"/>
                  <w:color w:val="0000FF"/>
                  <w:sz w:val="20"/>
                  <w:u w:val="single"/>
                </w:rPr>
                <w:t>WHERE YOU CAN FIND ADDITIONAL INFORMATION</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86</w:t>
            </w:r>
          </w:p>
        </w:tc>
      </w:tr>
      <w:tr>
        <w:trPr/>
        <w:tc>
          <w:tcPr>
            <w:tcW w:w="9844" w:type="dxa"/>
            <w:tcBorders/>
            <w:tcMar>
              <w:top w:w="0" w:type="dxa"/>
              <w:left w:w="0" w:type="dxa"/>
              <w:bottom w:w="0" w:type="dxa"/>
              <w:right w:w="0" w:type="dxa"/>
            </w:tcMar>
            <w:vAlign w:val="center"/>
          </w:tcPr>
          <w:p>
            <w:pPr>
              <w:pStyle w:val="TableContents"/>
              <w:bidi w:val="0"/>
              <w:spacing w:before="120" w:after="283"/>
              <w:jc w:val="left"/>
              <w:rPr/>
            </w:pPr>
            <w:hyperlink w:anchor="incorporation_of_certain_information">
              <w:r>
                <w:rPr>
                  <w:rStyle w:val="InternetLink"/>
                  <w:rFonts w:ascii="Times New Roman" w:hAnsi="Times New Roman"/>
                  <w:color w:val="0000FF"/>
                  <w:sz w:val="20"/>
                  <w:u w:val="single"/>
                </w:rPr>
                <w:t>INCORPORATION OF CERTAIN INFORMATION BY REFERENCE</w:t>
              </w:r>
            </w:hyperlink>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87</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Neither we nor any of the underwriters have authorized anyone to provide you with information that is different than the information contained in this prospectus and any free writing prospectus prepared by or on behalf of us or to which we have referred you. Neither we nor the underwriters take any responsibility for, and cannot provide any assurance as to the reliability of, any other information that others may give you. The information contained in this prospectus or in any applicable free writing prospectus is accurate only as of the date of this prospectus or such free writing prospectus, as applicable, regardless of the time of delivery of this prospectus or any such free writing prospectus or of any sale of the securities offered hereby. Our business, results of operations, financial condition and prospects may have changed since that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prospectus is an offer to sell only the securities offered hereby and only under circumstances and in jurisdictions where it is lawful to do so. 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 outside of the United States.</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Heading1"/>
        <w:bidi w:val="0"/>
        <w:spacing w:before="240" w:after="283"/>
        <w:ind w:left="0" w:right="0" w:hanging="0"/>
        <w:jc w:val="center"/>
        <w:rPr>
          <w:rFonts w:ascii="Times New Roman" w:hAnsi="Times New Roman"/>
          <w:color w:val="000000"/>
          <w:sz w:val="20"/>
          <w:bdr w:val="single" w:sz="6" w:space="1" w:color="000000"/>
        </w:rPr>
      </w:pPr>
      <w:bookmarkStart w:id="2" w:name="prospectus_summary"/>
      <w:bookmarkEnd w:id="2"/>
      <w:r>
        <w:rPr>
          <w:rFonts w:ascii="Times New Roman" w:hAnsi="Times New Roman"/>
          <w:color w:val="000000"/>
          <w:sz w:val="20"/>
          <w:bdr w:val="single" w:sz="6" w:space="1" w:color="000000"/>
        </w:rPr>
        <w:t>PROSPECTUS SUMMARY</w:t>
      </w:r>
    </w:p>
    <w:p>
      <w:pPr>
        <w:pStyle w:val="TextBody"/>
        <w:bidi w:val="0"/>
        <w:spacing w:before="240" w:after="283"/>
        <w:jc w:val="both"/>
        <w:rPr>
          <w:rFonts w:ascii="Times New Roman" w:hAnsi="Times New Roman"/>
          <w:i/>
          <w:color w:val="000000"/>
          <w:sz w:val="20"/>
          <w:bdr w:val="single" w:sz="6" w:space="1" w:color="000000"/>
        </w:rPr>
      </w:pPr>
      <w:r>
        <w:rPr>
          <w:rFonts w:ascii="Times New Roman" w:hAnsi="Times New Roman"/>
          <w:i/>
          <w:color w:val="000000"/>
          <w:sz w:val="20"/>
          <w:bdr w:val="single" w:sz="6" w:space="1" w:color="000000"/>
        </w:rPr>
        <w:t>The following summary highlights selected information that is presented in greater detail elsewhere in this prospectus. It does not contain all the information you should consider before investing in our Class A common stock. You should read this entire prospectus carefully, including the information in our filings with the Securities and Exchange Commission (the “SEC”), incorporated by reference in this prospectus. In this prospectus, unless expressly indicated or the context suggests otherwise, references to: “Gloo,” “we,” “us” and “our” refer to (1) Gloo Holdings, LLC and its consolidated subsidiaries prior to the consummation of the Corporate Reorganization (as defined below), and (2) Gloo Holdings, Inc. and its consolidated subsidiaries, including Gloo Holdings, LLC, after the consummation of the Corporate Reorganization. Our fiscal year ends on January 31, and our fiscal years ended January 31, 2024, 2025 and 2026 are referred to herein as “fiscal 2023,” “fiscal 2024” and “fiscal 2025,” respectively.</w:t>
      </w:r>
    </w:p>
    <w:p>
      <w:pPr>
        <w:pStyle w:val="TextBody"/>
        <w:bidi w:val="0"/>
        <w:spacing w:before="240" w:after="283"/>
        <w:jc w:val="both"/>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Overview</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Gloo exists because we believe that the faith and flourishing ecosystem—among the oldest, largest and most resilient ecosystems in the world—must be connected to thrive. Our mission is to build the leading technology platform and AI infrastructure serving this ecosystem, which remains highly fragmented and materially underserved by modern technology.</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At the center of the faith and flourishing ecosystem are two interconnected groups: churches and frontline organizations (“CFLs”), which serve communities directly, and network capability providers (“NCPs”), which equip the CFLs with the tools, resources and infrastructure they need to succeed. In the U.S. alone, there are estimated to be over 415,000 Christian organizations, including over 315,000 Christian congregations leading mission-driven and nonprofit work in their communities, collectively addressing some of society’s most pressing social challenges.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Given the scale and importance of this fragmented ecosystem, we believe there is a significant opportunity to build the core technology infrastructure that enables CFLs and NCPs to operate more effectively, reach more people, increase their impact and facilitate more efficient exchange across the ecosystem. Our strategy is to address this opportunity through two core and reinforcing platform capabilities: Powering Tech and Powering Reach. By Powering Tech we help our customers modernize their technology systems, data and workflows through a trusted, AI-enabled technology platform. By Powering Reach we help our customers expand awareness, deepen engagement and increase donor support through differentiated media, marketing, fundraising and data capabilities.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Gloo’s platform strategy is underpinned by our growing leadership in Applied AI for the faith and flourishing ecosystem. We are leveraging advances in agentic AI, foundational models and services from leading AI providers, and innovations developed across our platform to apply AI to the real operations and mission-critical activities of churches, ministries and nonprofits. We believe these capabilities must be deployed in ways that protect theological integrity, strengthen relational ministry and advance human flourishing.</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As part of this strategy, Gloo is taking on more of the work our customers have historically performed internally in situations where AI can now improve or execute those functions more effectively. In these engagements, we assume responsibility for certain technology operations, modernize underlying systems and workflows, and apply tailored agentic AI solutions to improve outcomes, lower costs and increase efficiency for customers, while also creating higher-margin and more durable revenue streams for Gloo. Supported by forward-deployed engineering resources working closely with customers, this model positions us to expand beyond traditional software spend into the significantly larger labor budgets that support operational execution across the faith and flourishing ecosystem.</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According to a 2016 analysis conducted by the Interdisciplinary Journal of Research on Religion, the faith sector, including all religions of which Christianity is the largest in America, contributes approximately $1.2 trillion to the United States economy each year, reflecting its far-reaching role in communities, employment, services and civic life. According to Kentley Insights, faith-based organizations of all religions generated over $265 billion in revenue in 2025, up 8.2% from $245 billion in revenue in 2024. According to IBISWorld, Christian organizations, which comprise our primary customer focus, accounted for 88% of the aggregate revenue of religious organizations in the United States in each of 2025 and 2024. Although we have not undertaken an independent analysis to estimate the </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spacing w:before="240" w:after="283"/>
        <w:ind w:left="0" w:right="0" w:hanging="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total addressable market for all of our current offerings or determined with precision the portion of this market that we may serve, we are confident that Gloo has substantial opportunities for continued growth. The significant majority of this economic activity is driven by donations, which sit at the financial center of the faith and flourishing ecosystem and powers the generosity that funds mission-driven work. This makes donor development a core capability within the ecosystem. As organizations face increasing pressure to fundraise more effectively, the need for integrated technology, marketing services and expertise becomes even more critical. These needs, coupled with the scale and economic value of this ecosystem, create a substantial market opportunity—one that is uniquely addressed by Gloo.</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customer momentum is a strong early signal that our model is working. We have more than 25 customers with annual contract values above $1 million, demonstrating that the Gloo Platform is delivering the technology, services and AI-enabled capabilities the ecosystem increasingly needs. This traction reflects growing customer confidence in our differentiated approach and reinforces our leadership in Applied AI as a driver of deeper relationships, larger engagements and sustained growth.</w:t>
      </w:r>
    </w:p>
    <w:p>
      <w:pPr>
        <w:pStyle w:val="TextBody"/>
        <w:bidi w:val="0"/>
        <w:spacing w:before="240" w:after="283"/>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The Flourishing Ecosystem</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The faith and flourishing ecosystem is far broader than churches alone. It includes a diverse set of for-profit and nonprofit organizations that help humans flourish across seven essential areas of life: spirituality, relationships, purpose, finances, health, character and contentment. </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define human flourishing as holistic well-being in these seven dimensions, a definition rooted in scripture, philosophy and psychological research. We believe that the rapid evolution of AI and other new technologies has the potential to either accelerate or undermine human flourishing. Gloo exists to help ensure that technology is shaped as a force for good. Our product development is informed by the ongoing Global Flourishing Study, a collaboration between Harvard, Baylor and Gallup, based on data from over 200,000 people across 22 countries.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Our platform serves organizations that specialize across the seven dimensions of the Global Flourishing Study framework, which are: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Spirituality</w:t>
      </w:r>
      <w:r>
        <w:rPr>
          <w:rFonts w:ascii="Times New Roman" w:hAnsi="Times New Roman"/>
          <w:color w:val="000000"/>
          <w:sz w:val="20"/>
          <w:bdr w:val="single" w:sz="6" w:space="1" w:color="000000"/>
        </w:rPr>
        <w:t>: churches, ministries, Christian universities, seminaries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Relationships</w:t>
      </w:r>
      <w:r>
        <w:rPr>
          <w:rFonts w:ascii="Times New Roman" w:hAnsi="Times New Roman"/>
          <w:color w:val="000000"/>
          <w:sz w:val="20"/>
          <w:bdr w:val="single" w:sz="6" w:space="1" w:color="000000"/>
        </w:rPr>
        <w:t>: counseling centers, parenting and marriage resources, community outreach organizations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Purpose</w:t>
      </w:r>
      <w:r>
        <w:rPr>
          <w:rFonts w:ascii="Times New Roman" w:hAnsi="Times New Roman"/>
          <w:color w:val="000000"/>
          <w:sz w:val="20"/>
          <w:bdr w:val="single" w:sz="6" w:space="1" w:color="000000"/>
        </w:rPr>
        <w:t xml:space="preserve">: vocational training, community development, philanthropic networks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Finances</w:t>
      </w:r>
      <w:r>
        <w:rPr>
          <w:rFonts w:ascii="Times New Roman" w:hAnsi="Times New Roman"/>
          <w:color w:val="000000"/>
          <w:sz w:val="20"/>
          <w:bdr w:val="single" w:sz="6" w:space="1" w:color="000000"/>
        </w:rPr>
        <w:t>: nonprofit lending, values-aligned insurance, human resources and retirement plans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Health</w:t>
      </w:r>
      <w:r>
        <w:rPr>
          <w:rFonts w:ascii="Times New Roman" w:hAnsi="Times New Roman"/>
          <w:color w:val="000000"/>
          <w:sz w:val="20"/>
          <w:bdr w:val="single" w:sz="6" w:space="1" w:color="000000"/>
        </w:rPr>
        <w:t>: addiction recovery, mental health, wellness services, anti-trafficking organizations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Character</w:t>
      </w:r>
      <w:r>
        <w:rPr>
          <w:rFonts w:ascii="Times New Roman" w:hAnsi="Times New Roman"/>
          <w:color w:val="000000"/>
          <w:sz w:val="20"/>
          <w:bdr w:val="single" w:sz="6" w:space="1" w:color="000000"/>
        </w:rPr>
        <w:t>: values-aligned content including faith-based films and digital media</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Contentment</w:t>
      </w:r>
      <w:r>
        <w:rPr>
          <w:rFonts w:ascii="Times New Roman" w:hAnsi="Times New Roman"/>
          <w:color w:val="000000"/>
          <w:sz w:val="20"/>
          <w:bdr w:val="single" w:sz="6" w:space="1" w:color="000000"/>
        </w:rPr>
        <w:t xml:space="preserve">: assessment tools, values-aligned publishers, wellness apps </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platform connects and equips thousands of NCPs and CFLs, many of which represent these dimensions, empowering them to serve millions of people within what we believe is one of the most resilient and purpose-driven verticals in the modern economy. In addition, our products and service offerings are designed with a focus on furthering these seven dimensions of human flourishing and are used by mission-driven organizations in both the faith and flourishing ecosystems.</w:t>
      </w:r>
    </w:p>
    <w:p>
      <w:pPr>
        <w:pStyle w:val="TextBody"/>
        <w:bidi w:val="0"/>
        <w:jc w:val="left"/>
        <w:rPr>
          <w:bdr w:val="single" w:sz="6" w:space="1" w:color="000000"/>
        </w:rPr>
      </w:pPr>
      <w:r>
        <w:rPr>
          <w:bdr w:val="single" w:sz="6" w:space="1" w:color="000000"/>
        </w:rPr>
        <w:t> </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ind w:left="0" w:right="0" w:hanging="0"/>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The Gloo Platform</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Gloo’s platform is built around two core ecosystem needs: modernizing technology and expanding reach, engagement and donor support. Through Powering Tech and Powering Reach, and strengthened by our leadership in Applied AI, we are positioned to serve both.</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The following sections describe the principal solutions within each capability area and the distinct customer segments and use cases they serve across the ecosystem.</w:t>
      </w:r>
    </w:p>
    <w:p>
      <w:pPr>
        <w:pStyle w:val="TextBody"/>
        <w:bidi w:val="0"/>
        <w:spacing w:before="240" w:after="283"/>
        <w:jc w:val="both"/>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Powering Tech</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Gloo delivers a trusted, AI-powered technology platform that helps our customers modernize core systems, unify data, improve workflows and operate more effectively. With agentic capabilities bringing efficiencies and cost savings, our customers have more time and resources to focus on their mission.</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Our platform is available to customers across the faith and flourishing ecosystem, from the smallest church to the largest faith-based institution. In addition, we are increasingly able to provide solutions to a broader secular market through strategic acquisitions, such as our acquisitions of Midwestern and Enterprisemarketdesk. </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also leverage our platform internally, allowing us to benefit directly from the same efficiencies and workflow improvements we deliver to our customers.</w:t>
      </w:r>
    </w:p>
    <w:p>
      <w:pPr>
        <w:pStyle w:val="TextBody"/>
        <w:bidi w:val="0"/>
        <w:spacing w:before="240" w:after="283"/>
        <w:jc w:val="both"/>
        <w:rPr>
          <w:rFonts w:ascii="Times New Roman" w:hAnsi="Times New Roman"/>
          <w:i/>
          <w:color w:val="000000"/>
          <w:sz w:val="20"/>
          <w:bdr w:val="single" w:sz="6" w:space="1" w:color="000000"/>
        </w:rPr>
      </w:pPr>
      <w:r>
        <w:rPr>
          <w:rFonts w:ascii="Times New Roman" w:hAnsi="Times New Roman"/>
          <w:i/>
          <w:color w:val="000000"/>
          <w:sz w:val="20"/>
          <w:bdr w:val="single" w:sz="6" w:space="1" w:color="000000"/>
        </w:rPr>
        <w:t>Powering Tech Solutions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Gloo 360 is a subscription-based offering for NCPs designed to modernize, operate and transform core IT infrastructure. It brings together applications, workflows and managed technology services on shared AI infrastructure and a common data foundation, enabling customers to improve efficiency, strengthen system integration and accelerate digital transformation. A key differentiator of Gloo 360 is our use of forward-deployed engineering talent, which works directly with customers to help build AI-enabled organizations and position them to benefit from AI-enabled workflows over time.</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offer Gloo 360 through subscription-based agreements, typically structured as annual or multi-year contracts. Subscription fees are recognized ratably over the service period and generally include a bundled combination of forward-deployed IT delivery, platform access and ongoing support services.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Gloo Workspace is a subscription-based offering for CFLs. It includes a suite of AI-powered tools that equip customers to create content, communicate with their congregations and extend their ministry. It includes three core products: Content Studio, Communications and Ministry Chat, which together help churches produce and distribute content, reach people through personalized SMS and email outreach and provide congregants with trusted, on-demand answers through an AI assistant trained on the church’s own content. As one of Gloo’s primary subscription relationships with churches and other CFLs, Gloo Workspace helps customers operate more effectively and increase their missional impact.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We offer our Gloo Workspace offerings through a tiered subscription model consisting of free, paid and premium tiers. Our free tier provides core platform access to users. Our paid and premium tiers provide additional features and are billed to customers on a monthly or annual contract basis. Paid subscriptions are recognized ratably over the applicable service period, with annual arrangements generally providing pricing advantages relative to monthly billing. </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Subscription revenue represented 18% of our total revenue for the year ended January 31, 2026 and 21% of our total revenue for the three months ended April 30, 2026. No individual component of subscription revenue represented a material part of our total revenue for the year ended January 31, 2026 or the three months ended April 30, 2026.</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Powering Tech also includes Platform Solutions delivered through Gloo 360 as well as through Midwestern and Servant, which are among our consolidated subsidiaries that we refer to as Gloo Capital Partners. These offerings </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spacing w:before="240" w:after="283"/>
        <w:ind w:left="0" w:right="0" w:hanging="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include services-based and project-oriented engagements that help customers implement technology, modernize workflows and advance digital transformation initiatives. A key component of these engagements is our use of forward-deployed engineering talent, which is directly embedded into customer teams and strategies to implement solutions, support execution and help build AI-enabled organizations.</w:t>
      </w:r>
    </w:p>
    <w:p>
      <w:pPr>
        <w:pStyle w:val="TextBody"/>
        <w:bidi w:val="0"/>
        <w:spacing w:before="240" w:after="283"/>
        <w:jc w:val="both"/>
        <w:rPr>
          <w:rFonts w:ascii="Times New Roman" w:hAnsi="Times New Roman"/>
          <w:sz w:val="20"/>
          <w:bdr w:val="single" w:sz="6" w:space="1" w:color="000000"/>
        </w:rPr>
      </w:pPr>
      <w:r>
        <w:rPr>
          <w:rFonts w:ascii="Times New Roman" w:hAnsi="Times New Roman"/>
          <w:b/>
          <w:i/>
          <w:color w:val="000000"/>
          <w:sz w:val="20"/>
          <w:bdr w:val="single" w:sz="6" w:space="1" w:color="000000"/>
        </w:rPr>
        <w:t>Powering Reach</w:t>
      </w:r>
      <w:r>
        <w:rPr>
          <w:rFonts w:ascii="Times New Roman" w:hAnsi="Times New Roman"/>
          <w:color w:val="000000"/>
          <w:sz w:val="20"/>
          <w:bdr w:val="single" w:sz="6" w:space="1" w:color="000000"/>
        </w:rPr>
        <w:t xml:space="preserve"> </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Gloo also offers the Gloo Media Network, a full-service platform to help organizations expand awareness, deepen engagement and increase donor support. Through our Gloo Capital Partners, Masterworks and Westfall Group, we provide end-to-end donor engagement capabilities spanning awareness, acquisition, cultivation, stewardship and long-term giving. These capabilities are further strengthened through another Gloo Capital Partner, Barna, whose research and insights help inform strategy, messaging and campaign effectiveness. </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A key differentiator is Masterworks’ proprietary media inventory developed specifically for Christian audiences, which enables faith-based organizations to reach audiences in trusted environments where their messages are contextually relevant. This inventory also provides a differentiated channel for select secular advertisers seeking to engage these audiences in an authentic and effective manner. </w:t>
      </w:r>
    </w:p>
    <w:p>
      <w:pPr>
        <w:pStyle w:val="TextBody"/>
        <w:bidi w:val="0"/>
        <w:spacing w:before="240" w:after="283"/>
        <w:jc w:val="both"/>
        <w:rPr>
          <w:rFonts w:ascii="Times New Roman" w:hAnsi="Times New Roman"/>
          <w:i/>
          <w:color w:val="000000"/>
          <w:sz w:val="20"/>
          <w:bdr w:val="single" w:sz="6" w:space="1" w:color="000000"/>
        </w:rPr>
      </w:pPr>
      <w:r>
        <w:rPr>
          <w:rFonts w:ascii="Times New Roman" w:hAnsi="Times New Roman"/>
          <w:i/>
          <w:color w:val="000000"/>
          <w:sz w:val="20"/>
          <w:bdr w:val="single" w:sz="6" w:space="1" w:color="000000"/>
        </w:rPr>
        <w:t>Powering Reach Solutions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Advertising and marketing offerings within Powering Reach are delivered through our Gloo Capital Partners, including Masterworks, Westfall Group, Barna and Outreach. These offerings help customers expand awareness, strengthen engagement and grow donor support through a combination of media execution, fundraising strategy, audience development and research driven insight.</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Masterworks provides donor media and campaign execution capabilities.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Westfall Group provides major donor engagement, events and fundraising services.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Barna provides research and insights that improve targeting, messaging and effectiveness.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Outreach provides a marketplace offering that serves churches and other CFLs by connecting them with curated physical and digital products, resources and services tailored to the faith and flourishing ecosystem.</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Like Powering Tech, Powering Reach also includes Platform Solutions, which are delivered through Masterworks and related services engagements. In an Applied AI world, we believe these offerings represent a significant growth opportunity for Gloo as organizations increasingly seek trusted partners to apply data, automation and AI-enabled workflows to donor engagement, media execution and campaign strategy.</w:t>
      </w:r>
    </w:p>
    <w:p>
      <w:pPr>
        <w:pStyle w:val="TextBody"/>
        <w:bidi w:val="0"/>
        <w:spacing w:before="240" w:after="283"/>
        <w:jc w:val="both"/>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Applied AI</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AI is a foundational capability across our platform and an important driver of innovation, efficiency and differentiation. We define Applied AI as the use of AI in workflows, operations and mission-critical activities across the faith and flourishing ecosystem. In this context, agentic AI, together with values-aligned AI provides the foundation for a trusted framework designed to support safe, appropriate and theologically aligned deployment while strengthening relational ministry and advancing human flourishing.</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Applied AI strategy is focused on three areas: building the core AI capabilities the ecosystem needs, embedding AI across our solutions and helping both customers and Gloo itself deploy AI agents and transition toward more agentic operating models. We believe these priorities will strengthen our platform, enhance customer outcomes and reinforce our leadership position in Applied AI for the faith and flourishing ecosystem.</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Our Flourishing AI Initiative (“FAI”) includes ongoing research into how AI models engage with faith, meaning and values, as well as the development of benchmarks and evaluation frameworks to assess AI alignment with </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spacing w:before="240" w:after="283"/>
        <w:ind w:left="0" w:right="0" w:hanging="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flourishing-oriented outcomes. FAI informs the technical development of our products and service offerings, including Gloo AI Studio, and the standards we apply when evaluating third-party models and platforms for use within the Gloo platform.</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We believe delivering Applied AI begins with providing the core capabilities needed to embed AI into the workflows and systems used by ministries, churches, nonprofits and other ecosystem participants. These capabilities include four foundational components: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Agents – intended to assist with tasks, workflows and operational activities across a range of organizational contexts, and over time, supported by a library of reusable agents designed for common functions across Gloo’s platform and among NCPs.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Values-aligned AI – intended to support trust, safety, theological integrity and human flourishing.</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Unified data infrastructure – which Gloo believes is essential to meaningful AI deployment and is designed to reconcile and unify organizational, content and marketing data into a trusted foundation for AI-enabled applications.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Trusted chat-based interfaces – designed to allow users to engage with AI through natural language and to support ecosystem development as conversational interfaces become increasingly important.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Through Gloo AI Studio, we make these capabilities available to Gloo’s customers and developers across the ecosystem, enabling them to build AI-powered solutions for their organizations on top of our infrastructure. Gloo AI Studio provides an interface where customers can access and leverage these AI-driven primitives for building AI-native applications and services.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AI-powered platform provides a broad set of APIs and services, including the following:</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Gloo AI Data Engine</w:t>
      </w:r>
      <w:r>
        <w:rPr>
          <w:color w:val="000000"/>
          <w:bdr w:val="single" w:sz="6" w:space="1" w:color="000000"/>
        </w:rPr>
        <w:t xml:space="preserve"> – </w:t>
      </w:r>
      <w:r>
        <w:rPr>
          <w:rFonts w:ascii="Times New Roman" w:hAnsi="Times New Roman"/>
          <w:color w:val="000000"/>
          <w:sz w:val="20"/>
          <w:bdr w:val="single" w:sz="6" w:space="1" w:color="000000"/>
        </w:rPr>
        <w:t>A proprietary enrichment and retrieval service that transforms raw content, including books, sermons, transcripts and media, into structured, AI-optimized knowledge bases. Through ingestion, tagging, indexing and enrichment pipelines, it produces transcripts, metadata, embeddings and derivative assets optimized for semantic retrieval and integration into AI tools.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Gloo AI APIs</w:t>
      </w:r>
      <w:r>
        <w:rPr>
          <w:color w:val="000000"/>
          <w:bdr w:val="single" w:sz="6" w:space="1" w:color="000000"/>
        </w:rPr>
        <w:t xml:space="preserve"> – </w:t>
      </w:r>
      <w:r>
        <w:rPr>
          <w:rFonts w:ascii="Times New Roman" w:hAnsi="Times New Roman"/>
          <w:color w:val="000000"/>
          <w:sz w:val="20"/>
          <w:bdr w:val="single" w:sz="6" w:space="1" w:color="000000"/>
        </w:rPr>
        <w:t>Developer-facing services for enrichment, retrieval, inference and orchestration. These include:</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 xml:space="preserve">Data Engine Service API </w:t>
      </w:r>
      <w:r>
        <w:rPr>
          <w:color w:val="000000"/>
          <w:bdr w:val="single" w:sz="6" w:space="1" w:color="000000"/>
        </w:rPr>
        <w:t xml:space="preserve">– </w:t>
      </w:r>
      <w:r>
        <w:rPr>
          <w:rFonts w:ascii="Times New Roman" w:hAnsi="Times New Roman"/>
          <w:color w:val="000000"/>
          <w:sz w:val="20"/>
          <w:bdr w:val="single" w:sz="6" w:space="1" w:color="000000"/>
        </w:rPr>
        <w:t>enabling ingestion and enrichment of content.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Search API</w:t>
      </w:r>
      <w:r>
        <w:rPr>
          <w:color w:val="000000"/>
          <w:bdr w:val="single" w:sz="6" w:space="1" w:color="000000"/>
        </w:rPr>
        <w:t xml:space="preserve"> – </w:t>
      </w:r>
      <w:r>
        <w:rPr>
          <w:rFonts w:ascii="Times New Roman" w:hAnsi="Times New Roman"/>
          <w:color w:val="000000"/>
          <w:sz w:val="20"/>
          <w:bdr w:val="single" w:sz="6" w:space="1" w:color="000000"/>
        </w:rPr>
        <w:t>hybrid semantic and symbolic search across theological, scriptural and flourishing categories.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Completions API</w:t>
      </w:r>
      <w:r>
        <w:rPr>
          <w:color w:val="000000"/>
          <w:bdr w:val="single" w:sz="6" w:space="1" w:color="000000"/>
        </w:rPr>
        <w:t xml:space="preserve"> – </w:t>
      </w:r>
      <w:r>
        <w:rPr>
          <w:rFonts w:ascii="Times New Roman" w:hAnsi="Times New Roman"/>
          <w:color w:val="000000"/>
          <w:sz w:val="20"/>
          <w:bdr w:val="single" w:sz="6" w:space="1" w:color="000000"/>
        </w:rPr>
        <w:t>orchestrated inference routed through expert models and tool agents.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Chat API</w:t>
      </w:r>
      <w:r>
        <w:rPr>
          <w:color w:val="000000"/>
          <w:bdr w:val="single" w:sz="6" w:space="1" w:color="000000"/>
        </w:rPr>
        <w:t xml:space="preserve"> – </w:t>
      </w:r>
      <w:r>
        <w:rPr>
          <w:rFonts w:ascii="Times New Roman" w:hAnsi="Times New Roman"/>
          <w:color w:val="000000"/>
          <w:sz w:val="20"/>
          <w:bdr w:val="single" w:sz="6" w:space="1" w:color="000000"/>
        </w:rPr>
        <w:t>retrieval-augmented conversational output with citations and values alignment.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w:t>
      </w:r>
    </w:p>
    <w:p>
      <w:pPr>
        <w:pStyle w:val="TextBody"/>
        <w:bidi w:val="0"/>
        <w:spacing w:before="240" w:after="283"/>
        <w:jc w:val="both"/>
        <w:rPr>
          <w:bdr w:val="single" w:sz="6" w:space="1" w:color="000000"/>
        </w:rPr>
      </w:pPr>
      <w:r>
        <w:rPr>
          <w:rFonts w:ascii="Times New Roman" w:hAnsi="Times New Roman"/>
          <w:b/>
          <w:color w:val="000000"/>
          <w:sz w:val="20"/>
          <w:bdr w:val="single" w:sz="6" w:space="1" w:color="000000"/>
        </w:rPr>
        <w:t>Gloo Code</w:t>
      </w:r>
      <w:r>
        <w:rPr>
          <w:color w:val="000000"/>
          <w:bdr w:val="single" w:sz="6" w:space="1" w:color="000000"/>
        </w:rPr>
        <w:t xml:space="preserve"> – </w:t>
      </w:r>
      <w:r>
        <w:rPr>
          <w:rFonts w:ascii="Times New Roman" w:hAnsi="Times New Roman"/>
          <w:color w:val="000000"/>
          <w:sz w:val="20"/>
          <w:bdr w:val="single" w:sz="6" w:space="1" w:color="000000"/>
        </w:rPr>
        <w:t>enabling efficient, values-aligned code generation.</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These capabilities are embedded in our AI-powered platform across many of our product and service offerings, including data analysis, transcription, enrichment and agentic workflows. Through a unified gateway, the platform provides access to a wide selection of frontier AI models spanning multiple providers, alongside a set of tools and guardrails designed to guide AI outputs toward outcomes that support human flourishing.</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Gloo AI Studio integrates third-party platforms, including closed-source technology from leading frontier AI providers as well as open-source technologies, to support and extend the platform’s core functionality. These capabilities use the foundational models from major providers as well as a broad set of open-source models. We use </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spacing w:before="240" w:after="283"/>
        <w:ind w:left="0" w:right="0" w:hanging="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major frontier AI technologies from providers such as OpenAI, Anthropic and Google, together with open-source models, to enable our flexible and values-aligned AI capabilities that we offer to the faith and flourishing ecosystem. Our hybrid approach to third-party AI platforms allows us to benefit from global advances in open-source and frontier AI while maintaining differentiation through our proprietary orchestration, datasets and alignment layers. We are not substantially dependent on any single AI platform provider, and we use their models under their standard terms and conditions.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are also embedding these AI capabilities across our existing solutions, including Gloo 360, Gloo Media Network, Masterworks, and Gloo Workspace to improve data integration, conversational experiences, workflow automation, personalization, and agent-driven execution.</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Through Gloo 360 in particular, we believe we are positioned to address a significant people-cost opportunity by taking on key operational functions and transforming manual, labor-intensive processes into more agentic operating models, driving significant efficiency gains and economies of scale.</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More broadly, we believe the long-term opportunity of Applied AI extends beyond individual products and workflows to helping organizations operate in more scalable, efficient and effective ways. By enabling customers, partners and Gloo itself to adopt more agentic operating models, we aim to expand capacity and improve execution across the faith and flourishing ecosystem.</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approach is grounded in our core principles of serving those who serve, advancing human flourishing and shaping technology for good. We believe AI should be deployed in ways that support mission effectiveness, preserve relational ministry and create practical value across the ecosystem.</w:t>
      </w:r>
    </w:p>
    <w:p>
      <w:pPr>
        <w:pStyle w:val="TextBody"/>
        <w:bidi w:val="0"/>
        <w:spacing w:before="240" w:after="283"/>
        <w:jc w:val="both"/>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Our Growth Strategy</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Our growth strategy combines continued organic execution with targeted strategic acquisitions to expand the platform and strengthen our position in the ecosystem. Organically, we drive growth through a combination of product-led and sales-led motions, enabling broader adoption of our offerings while deepening engagement across customers and partners. In parallel, we pursue selective acquisitions that reinforce our two core capabilities, Powering Tech and Powering Reach. Our growth approach adds scale, resources and accretive revenue and EBITDA to the platform, while our controlling ownership positions allow for consolidated financial results and increasing operating leverage over time. </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believe we are the only company to offer a platform with the same breadth and depth of offerings across the faith and flourishing ecosystem. By combining organically developed solutions with strategic acquisitions, we are creating a competitive advantage that is difficult to replicate. As our platform expands and ecosystem participation deepens, our model strengthens both our competitive position and long-term economics.</w:t>
      </w:r>
    </w:p>
    <w:p>
      <w:pPr>
        <w:pStyle w:val="TextBody"/>
        <w:bidi w:val="0"/>
        <w:spacing w:before="240" w:after="283"/>
        <w:jc w:val="both"/>
        <w:rPr>
          <w:rFonts w:ascii="Times New Roman" w:hAnsi="Times New Roman"/>
          <w:sz w:val="20"/>
          <w:bdr w:val="single" w:sz="6" w:space="1" w:color="000000"/>
        </w:rPr>
      </w:pPr>
      <w:r>
        <w:rPr>
          <w:rFonts w:ascii="Times New Roman" w:hAnsi="Times New Roman"/>
          <w:b/>
          <w:color w:val="000000"/>
          <w:sz w:val="20"/>
          <w:bdr w:val="single" w:sz="6" w:space="1" w:color="000000"/>
        </w:rPr>
        <w:t>Revenue Categories</w:t>
      </w:r>
      <w:r>
        <w:rPr>
          <w:rFonts w:ascii="Times New Roman" w:hAnsi="Times New Roman"/>
          <w:color w:val="000000"/>
          <w:sz w:val="20"/>
          <w:bdr w:val="single" w:sz="6" w:space="1" w:color="000000"/>
        </w:rPr>
        <w:t xml:space="preserve"> </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Gloo reports revenue in two categories: Platform Revenue and Platform Solutions Revenue. We generate revenue through four core streams: subscriptions, advertising and marketing services, marketplace offerings and platform solutions. Platform Revenue includes our more recurring and scalable offerings, while Platform Solutions Revenue reflects services-based solutions that are typically project-oriented in nature.</w:t>
      </w:r>
    </w:p>
    <w:p>
      <w:pPr>
        <w:pStyle w:val="TextBody"/>
        <w:bidi w:val="0"/>
        <w:spacing w:before="240" w:after="283"/>
        <w:jc w:val="both"/>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Our Competitive Strengths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Connecting what we believe to be one of the largest ecosystems in humanity requires a diverse set of skills and strengths. We believe our competitive strengths include:</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Connecting a Large, Diverse and Fragmented Faith and Flourishing Ecosystem – With over 140,000 churches and ministry leaders and over 3,000 active NCPs on our platform as of July 31, 2025, we believe we have built a trusted digital environment at scale in the faith and flourishing ecosystem. To our knowledge, no other company has aggregated a comparable breadth and diversity of ecosystem participants.</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spacing w:before="240" w:after="283"/>
        <w:ind w:left="0" w:right="0" w:hanging="0"/>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Differentiated Access to Ecosystem Relationships – We believe our ability to convene the ecosystem is a core differentiator. This is rooted in our extensive relational capital, cultivated through over ten years of trust-building and delivering value to the ecosystem. We facilitate dialogues that lead to actionable solutions and strengthened partnerships, contributing to current and future customers, as well as Gloo Capital Partner acquisitions and investments.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Developing AI for the Faith and Flourishing Ecosystem – Gloo’s competitive strength in AI lies in our ability to combine advanced AI capabilities, trusted ecosystem distribution, and deep domain expertise to deliver Applied AI solutions purpose built for the faith and flourishing ecosystem. This reflects Gloo’s definition of Applied AI: applying AI to real operations, workflows, and mission critical activities in ways that protect theological integrity, strengthen relational ministry, and advance human flourishing.</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Demonstrated Strategic Vision and Execution – As of the date of this prospectus, we have executed 20 strategic investments and acquisitions across key segments of the faith and flourishing ecosystem, integrating best-of-breed NCPs with proprietary products, strong customer relationships and established market presence.</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Experienced Board and Management Team – We are led by what we believe is a world-class board and executive team with deep expertise in both technology and the markets in which we operate. The team brings a proven track record in building scalable platforms, driving digital transformation and forging high-impact partnerships. Scott Beck, our co-founder, president and chief executive officer, is a veteran entrepreneur with over 40 years of experience in scaling businesses such as Blockbuster and Home Advisor. Pat Gelsinger, our executive chair and head of technology, brings more than 45 years of technology leadership, including his roles as chief executive officer of Intel and of VMware. They are joined by seasoned leaders with experience from Meta, Microsoft, McKinsey, YouVersion, Christianity Today and Hobby Lobby, forming a strongly qualified team to execute our growth strategy and scale Gloo’s impact across the faith and flourishing ecosystem.</w:t>
      </w:r>
    </w:p>
    <w:p>
      <w:pPr>
        <w:pStyle w:val="TextBody"/>
        <w:bidi w:val="0"/>
        <w:spacing w:before="240" w:after="283"/>
        <w:jc w:val="both"/>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Our Competition</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platform operates across a broad and highly fragmented market. We believe our competition primarily falls into five categories: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Faith-tech and general market point solutions, including providers of church management systems, communications tools and engagement platforms such as Subsplash, Ministry Brands, Planning Center and Mailchimp that compete with the Gloo Workspace communications and insights products.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Proprietary and custom systems, including larger ministries that build internal technology stacks that compete with our Gloo 360 solutions.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Traditional advertising networks, including large media and marketing platforms that offer reach and audience access such as Meta and Google that compete with the Gloo Media Network. </w:t>
      </w:r>
    </w:p>
    <w:p>
      <w:pPr>
        <w:pStyle w:val="TextBody"/>
        <w:bidi w:val="0"/>
        <w:spacing w:before="0" w:after="160"/>
        <w:jc w:val="both"/>
        <w:rPr>
          <w:color w:val="000000"/>
          <w:bdr w:val="single" w:sz="6" w:space="1" w:color="000000"/>
        </w:rPr>
      </w:pPr>
      <w:r>
        <w:rPr>
          <w:color w:val="000000"/>
          <w:bdr w:val="single" w:sz="6" w:space="1" w:color="000000"/>
        </w:rPr>
        <w:t>•</w:t>
      </w:r>
    </w:p>
    <w:p>
      <w:pPr>
        <w:pStyle w:val="TextBody"/>
        <w:bidi w:val="0"/>
        <w:spacing w:before="0" w:after="16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Technology development solutions, including providers that compete with the platform solutions offered by our Gloo Capital Partners, Midwestern and Servant.io. </w:t>
      </w:r>
    </w:p>
    <w:p>
      <w:pPr>
        <w:pStyle w:val="TextBody"/>
        <w:bidi w:val="0"/>
        <w:spacing w:before="0" w:after="160"/>
        <w:jc w:val="both"/>
        <w:rPr>
          <w:color w:val="000000"/>
          <w:bdr w:val="single" w:sz="6" w:space="1" w:color="000000"/>
        </w:rPr>
      </w:pPr>
      <w:r>
        <w:rPr>
          <w:color w:val="000000"/>
          <w:bdr w:val="single" w:sz="6" w:space="1" w:color="000000"/>
        </w:rPr>
        <w:t>•</w:t>
      </w:r>
    </w:p>
    <w:p>
      <w:pPr>
        <w:pStyle w:val="TextBody"/>
        <w:bidi w:val="0"/>
        <w:spacing w:before="0" w:after="16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Specialized and general e-commerce marketplaces, including providers of physical and digital products sold to CFLs for their operations, such as Amazon and Concordia Supply that compete with Outreach and our other e-commerce marketplaces. </w:t>
      </w:r>
    </w:p>
    <w:p>
      <w:pPr>
        <w:pStyle w:val="TextBody"/>
        <w:bidi w:val="0"/>
        <w:spacing w:before="80" w:after="24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Although we face competition across these categories, we believe we are the only company to offer a platform with this breadth and depth offerings across the faith and flourishing ecosystem. By combining organically developed solutions with strategic acquisitions, we are creating a competitive advantage that is difficult to replicate.</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spacing w:before="240" w:after="240"/>
        <w:ind w:left="0" w:right="0" w:hanging="0"/>
        <w:jc w:val="both"/>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Risk Factors Summary</w:t>
      </w:r>
    </w:p>
    <w:p>
      <w:pPr>
        <w:pStyle w:val="TextBody"/>
        <w:bidi w:val="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business is subject to numerous risks and uncertainties, including those highlighted in the section titled “Risk Factors” immediately following this prospectus summary. The following is a summary of the principal risks we face:</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have limited operating history and experience with scaling our platform, which makes it difficult to evaluate our business and prospects and forecast our future results.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recent growth may not be sustainable or indicative of future performance.</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have a history of net losses and may not achieve profitability in the future.</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There is no assurance that we will be able to continue as a going concern without achieving profitable operations or raising additional capital through potential equity or debt financing transactions, which we may not be able to obtain on favorable terms or at all.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If we fail to acquire new customers or the faith and flourishing ecosystem does not develop as we anticipate, our sales will not grow as quickly as expected, or at all, and our business, financial condition and results of operations will be harmed.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If we fail to retain our customers, or our customers do not renew or extend their subscriptions or other contracts, or renew or extend on less favorable terms, our revenue may decline or grow less quickly than anticipated, which would harm our business, financial condition and results of operations.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A decrease in charitable donations or other external funding of our customers and potential customers may result in reduced demand for our platform offerings, which could adversely affect our business, results of operations, financial condition and prospects.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Failure to effectively develop and expand our sales and marketing capabilities, including reliance on product-led sales efforts, could harm our ability to increase our customer base and achieve broader market acceptance and utilization of our platform.</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are subject to certain risks as a mission-driven company.</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depend on Mr. Beck and our senior management team to operate our business, and the loss of one or more of them could adversely affect our business.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If we do not continue to innovate and further develop our platform offerings, if our platform developments do not perform as anticipated or if we are not able to keep pace with technological developments, we may not remain competitive, and our business, results of operations, financial condition and prospects could be adversely affected.</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If we fail to develop, maintain and enhance our brand and reputation cost-effectively, our business, financial condition and results of operations could be adversely affected.</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The markets in which we participate are competitive, and if we do not compete effectively, our business, financial condition and results of operations could be harmed.</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may require additional capital to support the growth of our business, and such capital might not be available on favorable terms or at all.</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Revenues and profits generated through our acquisitions and investments may be less than anticipated, and we may fail to uncover all acquired liabilities that could result in unanticipated costs, losses, declines in profits and potential impairment charges, and for which we may not be indemnified in full.</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spacing w:before="240" w:after="283"/>
        <w:ind w:left="0" w:right="0" w:hanging="0"/>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If we are unable to identify attractive acquisition or investment targets, acquire or invest in them at attractive prices or successfully integrate their operations or otherwise realize their anticipated benefits, we may be unsuccessful in growing our business.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Sellers in our acquisitions of Visitor Reach, LLC ("Visitor Reach") and Midwestern Interactive, LLC ("Midwestern") have repurchase rights during specified periods, and any exercise of such rights could adversely affect our business, financial condition and results of operations. The existence of the repurchase rights may increase the likelihood of an impairment charge, complicate the overall integration process and decrease the benefits potentially realizable from investment synergies.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Interruptions or performance problems associated with our platform and the technology we use might harm our business, financial condition and results of operations.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are developing new AI platform offerings and incorporating AI-technology into certain of our platform offerings, which may result in operational, financial and reputational harm and other adverse consequences to our business.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Our business is subject to complex and evolving laws, regulations and industry standards, and unfavorable interpretations of, or changes in, or our actual and perceived failure to comply with these laws, regulations and industry standards could substantially harm our business and results of operations.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identified material weaknesses in our internal control over financial reporting in connection with the preparation and audit of our financial statements for the fiscal years ended January 31, 2025 and 2024, and these material weaknesses continued to exist as of April 30, 2026.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 establish and maintain effective internal control over financial reporting, our ability to accurately and timely report our financial results could be adversely affected.</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co-founder, president and chief executive officer, Mr. Beck, and his affiliates control a majority of the voting power of our outstanding capital stock and this limits other stockholders’ ability to influence or direct the outcome of key corporate actions and transactions, including a change in control.</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Although we do not expect to rely on the “controlled company” exemption under the rules and regulations of the Nasdaq Stock Market, we have the right to use such exemption and therefore could in the future avail ourselves of certain reduced corporate governance requirements.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quarterly results might fluctuate and if we fail to meet the expectations of analysts or investors, the trading price of our Class A common stock could decline substantially.</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Substantial future sales of shares of our Class A common stock, or the perception that such sales may occur, could cause the trading price of our Class A common stock to decline.</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If you purchase our common stock in this offering, you will incur immediate and substantial dilution in the book value of your shares.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Substantial amounts of our outstanding shares may be sold into the market when the lock-up period ends. If there are substantial sales of shares of our Class A common stock, the price of our Class A common stock could decline.</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have broad discretion in the use of our existing cash, cash equivalents and short-term investments and the net proceeds from this offering and may not use them effectively.</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Risk Factors are not guarantees that no such conditions exist as of the date of this prospectus and should not be interpreted as an affirmative statement that such risks or conditions have not materialized, in whole or in part.</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spacing w:before="240" w:after="283"/>
        <w:ind w:left="0" w:right="0" w:hanging="0"/>
        <w:jc w:val="both"/>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Corporate Information</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were originally formed as Gloo Holdings, LLC, a Delaware limited liability company, in November 2013. Gloo Holdings, Inc., a Delaware corporation, was incorporated on May 9, 2025, as a wholly owned subsidiary of Gloo Holdings, LLC. On November 19, 2025, we completed a series of internal organizational transactions pursuant to which Gloo Holdings, LLC became a wholly owned subsidiary of Gloo Holdings, Inc. and the members of Gloo Holdings, LLC immediately prior to the consummation of such transactions became holders of shares of Class B common stock of Gloo Holdings, Inc. (the “Corporate Reorganization”) in preparation for our initial public offering. As a result of the Corporate Reorganization, Gloo Holdings, Inc. became the sole managing member of Gloo Holdings, LLC.</w:t>
      </w:r>
    </w:p>
    <w:p>
      <w:pPr>
        <w:pStyle w:val="TextBody"/>
        <w:bidi w:val="0"/>
        <w:spacing w:before="240" w:after="283"/>
        <w:jc w:val="both"/>
        <w:rPr>
          <w:rFonts w:ascii="Times New Roman" w:hAnsi="Times New Roman"/>
          <w:sz w:val="20"/>
          <w:bdr w:val="single" w:sz="6" w:space="1" w:color="000000"/>
        </w:rPr>
      </w:pPr>
      <w:r>
        <w:rPr>
          <w:rFonts w:ascii="Times New Roman" w:hAnsi="Times New Roman"/>
          <w:color w:val="000000"/>
          <w:sz w:val="20"/>
          <w:bdr w:val="single" w:sz="6" w:space="1" w:color="000000"/>
        </w:rPr>
        <w:t xml:space="preserve">Our principal executive offices are located at 831 Pearl Street, Boulder, Colorado 80302 and our telephone number is (303) 381-2645. Our website address is </w:t>
      </w:r>
      <w:r>
        <w:rPr>
          <w:rFonts w:ascii="Times New Roman" w:hAnsi="Times New Roman"/>
          <w:i/>
          <w:color w:val="000000"/>
          <w:sz w:val="20"/>
          <w:bdr w:val="single" w:sz="6" w:space="1" w:color="000000"/>
        </w:rPr>
        <w:t>www.gloo.com</w:t>
      </w:r>
      <w:r>
        <w:rPr>
          <w:rFonts w:ascii="Times New Roman" w:hAnsi="Times New Roman"/>
          <w:color w:val="000000"/>
          <w:sz w:val="20"/>
          <w:bdr w:val="single" w:sz="6" w:space="1" w:color="000000"/>
        </w:rPr>
        <w:t>. Information contained on, or that can be accessed through, our website or linked therein or otherwise connected thereto is not a part of, and is not incorporated into, this prospectus or the registration statement of which this prospectus forms a part. We have included our website address in this prospectus solely as an inactive textual reference.</w:t>
      </w:r>
    </w:p>
    <w:p>
      <w:pPr>
        <w:pStyle w:val="TextBody"/>
        <w:bidi w:val="0"/>
        <w:spacing w:before="240" w:after="283"/>
        <w:jc w:val="both"/>
        <w:rPr>
          <w:rFonts w:ascii="Times New Roman" w:hAnsi="Times New Roman"/>
          <w:sz w:val="20"/>
          <w:bdr w:val="single" w:sz="6" w:space="1" w:color="000000"/>
        </w:rPr>
      </w:pPr>
      <w:r>
        <w:rPr>
          <w:rFonts w:ascii="Times New Roman" w:hAnsi="Times New Roman"/>
          <w:color w:val="000000"/>
          <w:sz w:val="20"/>
          <w:bdr w:val="single" w:sz="6" w:space="1" w:color="000000"/>
        </w:rPr>
        <w:t xml:space="preserve">We use Gloo, the Gloo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Times New Roman" w:hAnsi="Times New Roman"/>
          <w:color w:val="000000"/>
          <w:sz w:val="13"/>
          <w:bdr w:val="single" w:sz="6" w:space="1" w:color="000000"/>
        </w:rPr>
        <w:t>®</w:t>
      </w:r>
      <w:r>
        <w:rPr>
          <w:rFonts w:ascii="Times New Roman" w:hAnsi="Times New Roman"/>
          <w:color w:val="000000"/>
          <w:sz w:val="20"/>
          <w:bdr w:val="single" w:sz="6" w:space="1" w:color="000000"/>
        </w:rPr>
        <w:t xml:space="preserve"> or </w:t>
      </w:r>
      <w:r>
        <w:rPr>
          <w:rFonts w:ascii="Times New Roman" w:hAnsi="Times New Roman"/>
          <w:color w:val="000000"/>
          <w:sz w:val="13"/>
          <w:bdr w:val="single" w:sz="6" w:space="1" w:color="000000"/>
        </w:rPr>
        <w:t>TM</w:t>
      </w:r>
      <w:r>
        <w:rPr>
          <w:rFonts w:ascii="Times New Roman" w:hAnsi="Times New Roman"/>
          <w:color w:val="000000"/>
          <w:sz w:val="20"/>
          <w:bdr w:val="single" w:sz="6" w:space="1" w:color="000000"/>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240" w:after="283"/>
        <w:jc w:val="both"/>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Implications of Being an Emerging Growth Company and a Smaller Reporting Company</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are an “emerging growth company” as defined in the Jumpstart Our Business Startups Act of 2012, as amended (the “JOBS Act”). As such, we may take advantage of reduced disclosure and other requirements otherwise generally applicable to public companies, including, but not limited to:</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exemption from the requirement to have our registered independent public accounting firm attest to management’s assessment of our internal control over financial reporting;</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exemption from compliance with the requirement of the Public Company Accounting Oversight Board (the “PCAOB”) regarding the communication of critical audit matters in the auditor’s report on the financial statements;</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reduced disclosure about our executive compensation; and</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exemptions from the requirements to hold non-binding advisory votes on executive compensation and on the frequency of such votes as well as stockholder approval of any golden parachute arrangements not previously approved.</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will remain an emerging growth company until the earliest to occur of: (1) the last day of the fiscal year in which we have at least $1.235 billion in annual revenue; (2) the date we qualify as a “large accelerated filer,” with at least $700.0 million of equity securities held by non-affiliates as of the last business day of our most recently completed second fiscal quarter; (3) the date on which we have issued more than $1.0 billion in non-convertible debt securities during the prior three-year period; and (4) December 31, 2030.</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As a result of this status, we have taken advantage of reduced disclosure requirements in this prospectus and may elect to take advantage of other reduced reporting requirements in our future filings with the SEC. In addition, the JOBS Act provides that an emerging growth company may take advantage of an extended transition period for complying with new or revised accounting standards, delaying the adoption of these accounting standards until they </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spacing w:before="240" w:after="283"/>
        <w:ind w:left="0" w:right="0" w:hanging="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See the section titled “Risk Factors—Risks Related to Regulation and Taxation—We are an emerging growth company and a smaller reporting company, and any decision on our part to comply only with certain reduced reporting and disclosure requirements applicable to emerging growth companies and smaller reporting companies could make our Class A common stock less attractive to investors.”</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are also a “smaller reporting company” as defined in Rule 12b-2 under the Securities Exchange Act of 1934, as amended (the “Exchange Act”). We will remain a smaller reporting company until the last day of the fiscal year in which the aggregate market value of our Class A common stock that is held by non-affiliates is at least $250 million or the last day of the fiscal year in which we have at least $100 million in revenue and the aggregate market value of our Class A common stock that is held by non-affiliates is at least $700 million (in each case, with respect to the aggregate market value of our Class A common stock held by non-affiliates, as measured as of the last business day of the second quarter of such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w:t>
        <w:noBreakHyphen/>
        <w:t>K and, similar to emerging growth companies, smaller reporting companies have reduced disclosure obligations regarding executive compensation. See the section titled “Risk Factors—Risks Related to Regulation and Taxation—We are an emerging growth company and a smaller reporting company, and any decision on our part to comply only with certain reduced reporting and disclosure requirements applicable to emerging growth companies and smaller reporting companies could make our Class A common stock less attractive to investors.”</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ind w:left="0" w:right="0" w:hanging="0"/>
        <w:jc w:val="center"/>
        <w:rPr>
          <w:rFonts w:ascii="Times New Roman" w:hAnsi="Times New Roman"/>
          <w:b/>
          <w:color w:val="000000"/>
          <w:sz w:val="20"/>
          <w:bdr w:val="single" w:sz="6" w:space="1" w:color="000000"/>
        </w:rPr>
      </w:pPr>
      <w:bookmarkStart w:id="3" w:name="the_offering"/>
      <w:bookmarkEnd w:id="3"/>
      <w:r>
        <w:rPr>
          <w:rFonts w:ascii="Times New Roman" w:hAnsi="Times New Roman"/>
          <w:b/>
          <w:color w:val="000000"/>
          <w:sz w:val="20"/>
          <w:bdr w:val="single" w:sz="6" w:space="1" w:color="000000"/>
        </w:rPr>
        <w:t>THE OFFERING</w:t>
      </w:r>
    </w:p>
    <w:p>
      <w:pPr>
        <w:pStyle w:val="TextBody"/>
        <w:bidi w:val="0"/>
        <w:jc w:val="left"/>
        <w:rPr>
          <w:bdr w:val="single" w:sz="6" w:space="1" w:color="000000"/>
        </w:rPr>
      </w:pPr>
      <w:r>
        <w:rPr>
          <w:bdr w:val="single" w:sz="6" w:space="1" w:color="000000"/>
        </w:rPr>
        <w:t> </w:t>
      </w:r>
    </w:p>
    <w:tbl>
      <w:tblPr>
        <w:tblW w:w="10205" w:type="dxa"/>
        <w:jc w:val="left"/>
        <w:tblInd w:w="0" w:type="dxa"/>
        <w:tblLayout w:type="fixed"/>
        <w:tblCellMar>
          <w:top w:w="28" w:type="dxa"/>
          <w:left w:w="28" w:type="dxa"/>
          <w:bottom w:w="28" w:type="dxa"/>
          <w:right w:w="28" w:type="dxa"/>
        </w:tblCellMar>
      </w:tblPr>
      <w:tblGrid>
        <w:gridCol w:w="2084"/>
        <w:gridCol w:w="146"/>
        <w:gridCol w:w="7975"/>
      </w:tblGrid>
      <w:tr>
        <w:trPr/>
        <w:tc>
          <w:tcPr>
            <w:tcW w:w="2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5" w:type="dxa"/>
            <w:tcBorders/>
            <w:vAlign w:val="center"/>
          </w:tcPr>
          <w:p>
            <w:pPr>
              <w:pStyle w:val="TableContents"/>
              <w:bidi w:val="0"/>
              <w:spacing w:before="0" w:after="283"/>
              <w:jc w:val="left"/>
              <w:rPr>
                <w:sz w:val="4"/>
                <w:szCs w:val="4"/>
              </w:rPr>
            </w:pPr>
            <w:r>
              <w:rPr>
                <w:sz w:val="4"/>
                <w:szCs w:val="4"/>
              </w:rPr>
            </w:r>
          </w:p>
        </w:tc>
      </w:tr>
      <w:tr>
        <w:trPr/>
        <w:tc>
          <w:tcPr>
            <w:tcW w:w="208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Class A common stock offered by 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7,000,000 shares. </w:t>
            </w:r>
          </w:p>
        </w:tc>
      </w:tr>
      <w:tr>
        <w:trPr/>
        <w:tc>
          <w:tcPr>
            <w:tcW w:w="208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8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Underwriters’ option to purchase additional shares from 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1,050,000 shares.</w:t>
            </w:r>
          </w:p>
        </w:tc>
      </w:tr>
      <w:tr>
        <w:trPr/>
        <w:tc>
          <w:tcPr>
            <w:tcW w:w="208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8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Class A common stock to be outstanding immediately after this offering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18,405,352 shares (or 19,455,352 shares if the underwriters exercise their option to purchase additional shares in full).</w:t>
            </w:r>
          </w:p>
        </w:tc>
      </w:tr>
      <w:tr>
        <w:trPr/>
        <w:tc>
          <w:tcPr>
            <w:tcW w:w="208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8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Class B common stock to be outstanding immediately after this offering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69,166,937 shares.</w:t>
            </w:r>
          </w:p>
        </w:tc>
      </w:tr>
      <w:tr>
        <w:trPr/>
        <w:tc>
          <w:tcPr>
            <w:tcW w:w="208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8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Total Class A common stock and Class B common stock to be outstanding immediately after this offering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87,572,289 shares (or 88,622,289 shares if the underwriters exercise their option to purchase additional shares in full).</w:t>
            </w:r>
          </w:p>
        </w:tc>
      </w:tr>
      <w:tr>
        <w:trPr/>
        <w:tc>
          <w:tcPr>
            <w:tcW w:w="2084"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Indications of Interest</w:t>
            </w:r>
          </w:p>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5"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 addition, Scott Beck, Pat Gelsinger and certain other members of our board of directors and their affiliated entities have indicated their interest in purchasing at least $6.0 million in shares of our Class A common stock being offered in this offering at the public offering price. Because these indications of interest are not binding agreements or commitments to purchase, they could determine to purchase more, fewer or no shares in this offering, or we could determine to sell more, fewer or no securities to them. The underwriters will receive the same discount on any shares of Class A common stock purchased by such persons as they will on any other shares of Class A common stock sold to the public in this offering.</w:t>
            </w:r>
          </w:p>
          <w:p>
            <w:pPr>
              <w:pStyle w:val="TableContents"/>
              <w:bidi w:val="0"/>
              <w:spacing w:before="0" w:after="283"/>
              <w:jc w:val="left"/>
              <w:rPr/>
            </w:pPr>
            <w:r>
              <w:rPr/>
              <w:t> </w:t>
            </w:r>
          </w:p>
        </w:tc>
      </w:tr>
      <w:tr>
        <w:trPr/>
        <w:tc>
          <w:tcPr>
            <w:tcW w:w="208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Use of proceeds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We estimate that the net proceeds from the sale of shares of our Class A common stock in this offering will be approximately $28.2 million (or approximately $32.5 million if the underwriters exercise their option to purchase additional shares in full), which is based on the assumed public offering price of $4.44 per share, which is the last reported sale price of our Class A common stock on Nasdaq on July 2, 2026, and after deducting estimated underwriting discounts and commissions and estimated offering expenses payable by us.</w:t>
            </w:r>
          </w:p>
          <w:p>
            <w:pPr>
              <w:pStyle w:val="TableContents"/>
              <w:bidi w:val="0"/>
              <w:jc w:val="both"/>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currently intend to use the net proceeds from this offering for general corporate purposes, including acquisitions and investments in businesses, products, services or technologies, working capital, operating expenses and capital expenditures. However, we do not have agreements or commitments for any acquisitions or investments at this time for which we will use the proceeds from this offering. See the section titled “Use of Proceeds.”</w:t>
            </w:r>
          </w:p>
        </w:tc>
      </w:tr>
      <w:tr>
        <w:trPr/>
        <w:tc>
          <w:tcPr>
            <w:tcW w:w="2084"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8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Voting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Each share of our Class A common stock is entitled to one vote per share and each share of our Class B common stock is entitled to ten votes per share. Holders of our Class A common stock and Class B common stock generally vote together as a single class, unless otherwise required by law or our amended and restated certificate of incorporation. Immediately following the </w:t>
            </w:r>
          </w:p>
        </w:tc>
      </w:tr>
    </w:tbl>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tbl>
      <w:tblPr>
        <w:tblW w:w="10205" w:type="dxa"/>
        <w:jc w:val="left"/>
        <w:tblInd w:w="0" w:type="dxa"/>
        <w:tblLayout w:type="fixed"/>
        <w:tblCellMar>
          <w:top w:w="28" w:type="dxa"/>
          <w:left w:w="28" w:type="dxa"/>
          <w:bottom w:w="28" w:type="dxa"/>
          <w:right w:w="28" w:type="dxa"/>
        </w:tblCellMar>
      </w:tblPr>
      <w:tblGrid>
        <w:gridCol w:w="1160"/>
        <w:gridCol w:w="146"/>
        <w:gridCol w:w="8899"/>
      </w:tblGrid>
      <w:tr>
        <w:trPr/>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99" w:type="dxa"/>
            <w:tcBorders/>
            <w:vAlign w:val="center"/>
          </w:tcPr>
          <w:p>
            <w:pPr>
              <w:pStyle w:val="TableContents"/>
              <w:bidi w:val="0"/>
              <w:spacing w:before="0" w:after="283"/>
              <w:jc w:val="left"/>
              <w:rPr>
                <w:sz w:val="4"/>
                <w:szCs w:val="4"/>
              </w:rPr>
            </w:pPr>
            <w:r>
              <w:rPr>
                <w:sz w:val="4"/>
                <w:szCs w:val="4"/>
              </w:rPr>
            </w:r>
          </w:p>
        </w:tc>
      </w:tr>
      <w:tr>
        <w:trPr/>
        <w:tc>
          <w:tcPr>
            <w:tcW w:w="11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completion of this offering, Scott Beck, our co-founder, president and chief executive officer, will control 53.3% of the voting power of our outstanding capital stock, taking into account the Class B Conversion (as defined below). As a result, Mr. Beck is able to significantly influence any action requiring the approval of our stockholders, including the election of our board of directors, the adoption of amendments to our certificate of incorporation and our amended and restated bylaws and the approval of any merger, consolidation, sale of all or substantially all of our assets, or other major corporate transaction. See the section titled “Description of Capital Stock.”</w:t>
            </w:r>
          </w:p>
        </w:tc>
      </w:tr>
      <w:tr>
        <w:trPr/>
        <w:tc>
          <w:tcPr>
            <w:tcW w:w="116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6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Risk factors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See the section titled “Risk Factors” of this prospectus, and the other information included in, or incorporated by reference into, this prospectus for a discussion of factors you should carefully consider before deciding to invest in our Class A common stock.</w:t>
            </w:r>
          </w:p>
        </w:tc>
      </w:tr>
      <w:tr>
        <w:trPr/>
        <w:tc>
          <w:tcPr>
            <w:tcW w:w="116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6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Nasdaq Global Select Market trading symbol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99"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Times New Roman" w:hAnsi="Times New Roman"/>
                <w:color w:val="000000"/>
                <w:sz w:val="20"/>
              </w:rPr>
              <w:t>GLOO”</w:t>
            </w:r>
          </w:p>
        </w:tc>
      </w:tr>
    </w:tbl>
    <w:p>
      <w:pPr>
        <w:pStyle w:val="TextBody"/>
        <w:bidi w:val="0"/>
        <w:jc w:val="left"/>
        <w:rPr>
          <w:bdr w:val="single" w:sz="6" w:space="1" w:color="000000"/>
        </w:rPr>
      </w:pPr>
      <w:r>
        <w:rPr>
          <w:bdr w:val="single" w:sz="6" w:space="1" w:color="000000"/>
        </w:rPr>
        <w:t> </w:t>
      </w:r>
    </w:p>
    <w:p>
      <w:pPr>
        <w:pStyle w:val="TextBody"/>
        <w:bidi w:val="0"/>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The total number of shares of Class A common stock and Class B common stock that will be outstanding immediately after this offering is based on 11,405,352 shares of our Class A common stock and 69,166,937 shares of our Class B common stock outstanding as of April 30, 2026, and excludes the following:</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10,118,529 shares of Class A common stock issued upon conversion of an equal number of shares of Class B common stock from May 1, 2026 through July 2, 2026 (the “Class B Conversion”);</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4,281,939 shares of our Class B common stock issuable upon the exercise of outstanding options under the Gloo Holdings, LLC Membership Unit Option Plan (the “2014 Plan”) as of April 30, 2026, with a weighted-average exercise price of $7.79;</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9,264,329 shares of our Class A common stock issuable upon the exercise of outstanding options under the 2025 Equity Incentive Plan (the “2025 Plan”) as of April 30, 2026, with a weighted-average exercise price of $7.64;</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150,000 shares of our Class A common stock issuable upon the vesting and settlement of outstanding restricted stock units under the 2025 Plan awarded as of April 30, 2026;</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199,999 shares of Class B common stock issuable upon the exercise of warrants outstanding as of April 30, 2026, with a weighted-average exercise price of $18.00 per share;</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8,198,170 shares of Class A common stock reserved for future issuance under the 2025 Plan as of April 30, 2026, as well as any automatic increases in the number of shares of our Class A common stock reserved for future issuance under this plan; </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500,000 shares of Class A common stock reserved for future issuance under the 2025 Employee Stock Purchase Plan (the “ESPP”) as of April 30, 2026, as well as any automatic increases in the number of shares of our Class A common stock reserved for future issuance under this plan; and</w:t>
      </w:r>
    </w:p>
    <w:p>
      <w:pPr>
        <w:pStyle w:val="TextBody"/>
        <w:bidi w:val="0"/>
        <w:spacing w:before="240" w:after="283"/>
        <w:jc w:val="both"/>
        <w:rPr>
          <w:color w:val="000000"/>
          <w:bdr w:val="single" w:sz="6" w:space="1" w:color="000000"/>
        </w:rPr>
      </w:pPr>
      <w:r>
        <w:rPr>
          <w:color w:val="000000"/>
          <w:bdr w:val="single" w:sz="6" w:space="1" w:color="000000"/>
        </w:rPr>
        <w:t>•</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298,835 shares of Class B common stock held by our consolidated, majority-owned subsidiaries as of April 30, 2026, which are not entitled to vote pursuant to Section 160(c) of the Delaware General Corporation Law.</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spacing w:before="240" w:after="283"/>
        <w:ind w:left="0" w:right="0" w:hanging="0"/>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Except as otherwise indicated, all information in this prospectus assumes or gives effect to the following:</w:t>
      </w:r>
    </w:p>
    <w:p>
      <w:pPr>
        <w:pStyle w:val="TextBody"/>
        <w:bidi w:val="0"/>
        <w:spacing w:before="240" w:after="283"/>
        <w:jc w:val="left"/>
        <w:rPr>
          <w:color w:val="000000"/>
          <w:bdr w:val="single" w:sz="6" w:space="1" w:color="000000"/>
        </w:rPr>
      </w:pPr>
      <w:r>
        <w:rPr>
          <w:color w:val="000000"/>
          <w:bdr w:val="single" w:sz="6" w:space="1" w:color="000000"/>
        </w:rPr>
        <w:t>•</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no conversions of shares of Class B common stock into shares of Class A common stock since April 30, 2026;</w:t>
      </w:r>
    </w:p>
    <w:p>
      <w:pPr>
        <w:pStyle w:val="TextBody"/>
        <w:bidi w:val="0"/>
        <w:spacing w:before="240" w:after="283"/>
        <w:jc w:val="left"/>
        <w:rPr>
          <w:color w:val="000000"/>
          <w:bdr w:val="single" w:sz="6" w:space="1" w:color="000000"/>
        </w:rPr>
      </w:pPr>
      <w:r>
        <w:rPr>
          <w:color w:val="000000"/>
          <w:bdr w:val="single" w:sz="6" w:space="1" w:color="000000"/>
        </w:rPr>
        <w:t>•</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21,057 shares of Class B common stock and 277,778 shares of Class A common stock held by our consolidated, majority-owned subsidiaries as of the date of this prospectus are not treated as outstanding on each applicable date because they are not entitled to vote pursuant to Section 160(c) of the Delaware General Corporation Law;</w:t>
      </w:r>
    </w:p>
    <w:p>
      <w:pPr>
        <w:pStyle w:val="TextBody"/>
        <w:bidi w:val="0"/>
        <w:spacing w:before="240" w:after="283"/>
        <w:jc w:val="left"/>
        <w:rPr>
          <w:color w:val="000000"/>
          <w:bdr w:val="single" w:sz="6" w:space="1" w:color="000000"/>
        </w:rPr>
      </w:pPr>
      <w:r>
        <w:rPr>
          <w:color w:val="000000"/>
          <w:bdr w:val="single" w:sz="6" w:space="1" w:color="000000"/>
        </w:rPr>
        <w:t>•</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no exercise of outstanding options or warrants or vesting or restricted stock units described above;</w:t>
      </w:r>
    </w:p>
    <w:p>
      <w:pPr>
        <w:pStyle w:val="TextBody"/>
        <w:bidi w:val="0"/>
        <w:spacing w:before="240" w:after="283"/>
        <w:jc w:val="left"/>
        <w:rPr>
          <w:color w:val="000000"/>
          <w:bdr w:val="single" w:sz="6" w:space="1" w:color="000000"/>
        </w:rPr>
      </w:pPr>
      <w:r>
        <w:rPr>
          <w:color w:val="000000"/>
          <w:bdr w:val="single" w:sz="6" w:space="1" w:color="000000"/>
        </w:rPr>
        <w:t>•</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no purchase of shares of our Class A common stock in this offering by our directors, executive officers or existing stockholders; and</w:t>
      </w:r>
    </w:p>
    <w:p>
      <w:pPr>
        <w:pStyle w:val="TextBody"/>
        <w:bidi w:val="0"/>
        <w:spacing w:before="240" w:after="283"/>
        <w:jc w:val="left"/>
        <w:rPr>
          <w:color w:val="000000"/>
          <w:bdr w:val="single" w:sz="6" w:space="1" w:color="000000"/>
        </w:rPr>
      </w:pPr>
      <w:r>
        <w:rPr>
          <w:color w:val="000000"/>
          <w:bdr w:val="single" w:sz="6" w:space="1" w:color="000000"/>
        </w:rPr>
        <w:t>•</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no exercise of the underwriters’ option to purchase additional shares.</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ind w:left="0" w:right="0" w:hanging="0"/>
        <w:jc w:val="center"/>
        <w:rPr>
          <w:rFonts w:ascii="Times New Roman" w:hAnsi="Times New Roman"/>
          <w:b/>
          <w:color w:val="000000"/>
          <w:sz w:val="20"/>
          <w:bdr w:val="single" w:sz="6" w:space="1" w:color="000000"/>
        </w:rPr>
      </w:pPr>
      <w:bookmarkStart w:id="4" w:name="summary_consolidated_financial"/>
      <w:bookmarkEnd w:id="4"/>
      <w:r>
        <w:rPr>
          <w:rFonts w:ascii="Times New Roman" w:hAnsi="Times New Roman"/>
          <w:b/>
          <w:color w:val="000000"/>
          <w:sz w:val="20"/>
          <w:bdr w:val="single" w:sz="6" w:space="1" w:color="000000"/>
        </w:rPr>
        <w:t>SUMMARY CONSOLIDATED FINANCIAL AND OTHER DATA</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The following tables set forth our summary consolidated financial and other data. The summary consolidated statements of operations data for the years ended January 31, 2025 and 2026 have been derived from our audited consolidated financial statements included in our Annual Report on Form 10-K for the year ended January 31, 2026, which are incorporated by reference in this prospectus. The summary condensed consolidated statements of operations data for the three months ended April 30, 2025 and 2026, and the summary condensed consolidated balance sheet data as of April 30, 2026, are derived from our unaudited interim consolidated financial statements included in our Quarterly Report on Form 10-Q for the quarter ended April 30, 2026, which are incorporated by reference in this prospectus. The summary consolidated financial data in this section are not intended to replace, and are qualified in their entirety by, the consolidated financial statements and related notes. </w:t>
      </w:r>
    </w:p>
    <w:p>
      <w:pPr>
        <w:pStyle w:val="TextBody"/>
        <w:bidi w:val="0"/>
        <w:jc w:val="left"/>
        <w:rPr>
          <w:bdr w:val="single" w:sz="6" w:space="1" w:color="000000"/>
        </w:rPr>
      </w:pPr>
      <w:r>
        <w:rPr>
          <w:bdr w:val="single" w:sz="6" w:space="1" w:color="000000"/>
        </w:rPr>
        <w:t> </w:t>
      </w:r>
    </w:p>
    <w:tbl>
      <w:tblPr>
        <w:tblW w:w="10205" w:type="dxa"/>
        <w:jc w:val="left"/>
        <w:tblInd w:w="0" w:type="dxa"/>
        <w:tblLayout w:type="fixed"/>
        <w:tblCellMar>
          <w:top w:w="28" w:type="dxa"/>
          <w:left w:w="28" w:type="dxa"/>
          <w:bottom w:w="28" w:type="dxa"/>
          <w:right w:w="28" w:type="dxa"/>
        </w:tblCellMar>
      </w:tblPr>
      <w:tblGrid>
        <w:gridCol w:w="4264"/>
        <w:gridCol w:w="146"/>
        <w:gridCol w:w="196"/>
        <w:gridCol w:w="826"/>
        <w:gridCol w:w="166"/>
        <w:gridCol w:w="146"/>
        <w:gridCol w:w="196"/>
        <w:gridCol w:w="916"/>
        <w:gridCol w:w="166"/>
        <w:gridCol w:w="146"/>
        <w:gridCol w:w="196"/>
        <w:gridCol w:w="826"/>
        <w:gridCol w:w="166"/>
        <w:gridCol w:w="146"/>
        <w:gridCol w:w="196"/>
        <w:gridCol w:w="916"/>
        <w:gridCol w:w="591"/>
      </w:tblGrid>
      <w:tr>
        <w:trPr/>
        <w:tc>
          <w:tcPr>
            <w:tcW w:w="4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January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 Statements of Operations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 solutions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Cost of revenue (exclusive of depreciation and amortization)</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Product development</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Sales and marketing</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General and administrative</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Impairment of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(18,740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(gain) from change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(loss) from equity method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Less: 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common members/stockholders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(16,824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unit/share attributable to common</w:t>
              <w:br/>
              <w:t>   members/stockholders,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units/shares used in computing</w:t>
              <w:br/>
              <w:t>   net loss per unit/share attributable to common</w:t>
              <w:br/>
              <w:t>   members/stockholders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7,764,474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22,696,229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8,217,025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80,769,952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bdr w:val="single" w:sz="6" w:space="1" w:color="000000"/>
        </w:rPr>
      </w:pPr>
      <w:r>
        <w:rPr>
          <w:bdr w:val="single" w:sz="6" w:space="1" w:color="000000"/>
        </w:rPr>
        <w:t> </w:t>
      </w:r>
    </w:p>
    <w:p>
      <w:pPr>
        <w:pStyle w:val="TextBody"/>
        <w:bidi w:val="0"/>
        <w:spacing w:before="40" w:after="283"/>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40" w:after="283"/>
        <w:jc w:val="left"/>
        <w:rPr>
          <w:rFonts w:ascii="Times New Roman" w:hAnsi="Times New Roman"/>
          <w:color w:val="000000"/>
          <w:sz w:val="16"/>
          <w:bdr w:val="single" w:sz="6" w:space="1" w:color="000000"/>
        </w:rPr>
      </w:pPr>
      <w:r>
        <w:rPr>
          <w:rFonts w:ascii="Times New Roman" w:hAnsi="Times New Roman"/>
          <w:color w:val="000000"/>
          <w:sz w:val="16"/>
          <w:bdr w:val="single" w:sz="6" w:space="1" w:color="000000"/>
        </w:rPr>
        <w:t>Equity-based compensation expense was allocated in cost of revenue and operating expenses as follows:</w:t>
      </w:r>
    </w:p>
    <w:p>
      <w:pPr>
        <w:pStyle w:val="TextBody"/>
        <w:bidi w:val="0"/>
        <w:spacing w:before="40" w:after="283"/>
        <w:jc w:val="left"/>
        <w:rPr>
          <w:bdr w:val="single" w:sz="6" w:space="1" w:color="000000"/>
        </w:rPr>
      </w:pPr>
      <w:r>
        <w:rPr>
          <w:bdr w:val="single" w:sz="6" w:space="1" w:color="000000"/>
        </w:rPr>
        <w:t> </w:t>
      </w:r>
    </w:p>
    <w:tbl>
      <w:tblPr>
        <w:tblW w:w="9925" w:type="dxa"/>
        <w:jc w:val="left"/>
        <w:tblInd w:w="0" w:type="dxa"/>
        <w:tblLayout w:type="fixed"/>
        <w:tblCellMar>
          <w:top w:w="28" w:type="dxa"/>
          <w:left w:w="28" w:type="dxa"/>
          <w:bottom w:w="28" w:type="dxa"/>
          <w:right w:w="28" w:type="dxa"/>
        </w:tblCellMar>
      </w:tblPr>
      <w:tblGrid>
        <w:gridCol w:w="5041"/>
        <w:gridCol w:w="146"/>
        <w:gridCol w:w="211"/>
        <w:gridCol w:w="571"/>
        <w:gridCol w:w="146"/>
        <w:gridCol w:w="146"/>
        <w:gridCol w:w="211"/>
        <w:gridCol w:w="676"/>
        <w:gridCol w:w="146"/>
        <w:gridCol w:w="146"/>
        <w:gridCol w:w="261"/>
        <w:gridCol w:w="706"/>
        <w:gridCol w:w="180"/>
        <w:gridCol w:w="180"/>
        <w:gridCol w:w="261"/>
        <w:gridCol w:w="706"/>
        <w:gridCol w:w="1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January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bdr w:val="single" w:sz="6" w:space="1" w:color="000000"/>
        </w:rPr>
      </w:pPr>
      <w:r>
        <w:rPr>
          <w:bdr w:val="single" w:sz="6" w:space="1" w:color="000000"/>
        </w:rPr>
        <w:t> </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spacing w:before="40" w:after="283"/>
        <w:ind w:left="0" w:right="0" w:hanging="0"/>
        <w:jc w:val="left"/>
        <w:rPr>
          <w:bdr w:val="single" w:sz="6" w:space="1" w:color="000000"/>
        </w:rPr>
      </w:pPr>
      <w:r>
        <w:rPr>
          <w:bdr w:val="single" w:sz="6" w:space="1" w:color="000000"/>
        </w:rPr>
        <w:t> </w:t>
      </w:r>
    </w:p>
    <w:tbl>
      <w:tblPr>
        <w:tblW w:w="6927" w:type="dxa"/>
        <w:jc w:val="left"/>
        <w:tblInd w:w="0" w:type="dxa"/>
        <w:tblLayout w:type="fixed"/>
        <w:tblCellMar>
          <w:top w:w="28" w:type="dxa"/>
          <w:left w:w="28" w:type="dxa"/>
          <w:bottom w:w="28" w:type="dxa"/>
          <w:right w:w="28" w:type="dxa"/>
        </w:tblCellMar>
      </w:tblPr>
      <w:tblGrid>
        <w:gridCol w:w="3871"/>
        <w:gridCol w:w="146"/>
        <w:gridCol w:w="211"/>
        <w:gridCol w:w="781"/>
        <w:gridCol w:w="166"/>
        <w:gridCol w:w="146"/>
        <w:gridCol w:w="258"/>
        <w:gridCol w:w="957"/>
        <w:gridCol w:w="3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April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As Adjusted</w:t>
            </w:r>
            <w:r>
              <w:rPr>
                <w:rFonts w:ascii="Times New Roman" w:hAnsi="Times New Roman"/>
                <w:b/>
                <w:color w:val="000000"/>
                <w:sz w:val="11"/>
              </w:rPr>
              <w:t>(1)(2)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Balance Sheet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Working capital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bdr w:val="single" w:sz="6" w:space="1" w:color="000000"/>
        </w:rPr>
      </w:pPr>
      <w:r>
        <w:rPr>
          <w:bdr w:val="single" w:sz="6" w:space="1" w:color="000000"/>
        </w:rPr>
        <w:t> </w:t>
      </w:r>
    </w:p>
    <w:p>
      <w:pPr>
        <w:pStyle w:val="TextBody"/>
        <w:bidi w:val="0"/>
        <w:spacing w:before="0" w:after="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(1)</w:t>
      </w:r>
    </w:p>
    <w:p>
      <w:pPr>
        <w:pStyle w:val="TextBody"/>
        <w:bidi w:val="0"/>
        <w:spacing w:before="0" w:after="0"/>
        <w:jc w:val="both"/>
        <w:rPr>
          <w:bdr w:val="single" w:sz="6" w:space="1" w:color="000000"/>
        </w:rPr>
      </w:pPr>
      <w:r>
        <w:rPr>
          <w:rFonts w:ascii="Times New Roman" w:hAnsi="Times New Roman"/>
          <w:color w:val="000000"/>
          <w:sz w:val="16"/>
          <w:bdr w:val="single" w:sz="6" w:space="1" w:color="000000"/>
        </w:rPr>
        <w:t>This column gives effect to the issuance and sale by us of 7,000,000</w:t>
      </w:r>
      <w:r>
        <w:rPr>
          <w:color w:val="000000"/>
          <w:bdr w:val="single" w:sz="6" w:space="1" w:color="000000"/>
        </w:rPr>
        <w:t xml:space="preserve"> </w:t>
      </w:r>
      <w:r>
        <w:rPr>
          <w:rFonts w:ascii="Times New Roman" w:hAnsi="Times New Roman"/>
          <w:color w:val="000000"/>
          <w:sz w:val="16"/>
          <w:bdr w:val="single" w:sz="6" w:space="1" w:color="000000"/>
        </w:rPr>
        <w:t>shares of Class A common stock in this offering at the assumed public offering price of $4.44 per share, based on the last reported sale price of our Class A common stock on Nasdaq on</w:t>
      </w:r>
      <w:r>
        <w:rPr>
          <w:color w:val="000000"/>
          <w:bdr w:val="single" w:sz="6" w:space="1" w:color="000000"/>
        </w:rPr>
        <w:t xml:space="preserve"> </w:t>
      </w:r>
      <w:r>
        <w:rPr>
          <w:rFonts w:ascii="Times New Roman" w:hAnsi="Times New Roman"/>
          <w:color w:val="000000"/>
          <w:sz w:val="16"/>
          <w:bdr w:val="single" w:sz="6" w:space="1" w:color="000000"/>
        </w:rPr>
        <w:t>July 2, 2026, and after deducting estimated underwriting discounts and commissions and estimated offering expenses payable by us.</w:t>
      </w:r>
    </w:p>
    <w:p>
      <w:pPr>
        <w:pStyle w:val="TextBody"/>
        <w:bidi w:val="0"/>
        <w:spacing w:before="0" w:after="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(2)</w:t>
      </w:r>
    </w:p>
    <w:p>
      <w:pPr>
        <w:pStyle w:val="TextBody"/>
        <w:bidi w:val="0"/>
        <w:spacing w:before="0" w:after="0"/>
        <w:jc w:val="both"/>
        <w:rPr>
          <w:bdr w:val="single" w:sz="6" w:space="1" w:color="000000"/>
        </w:rPr>
      </w:pPr>
      <w:r>
        <w:rPr>
          <w:rFonts w:ascii="Times New Roman" w:hAnsi="Times New Roman"/>
          <w:color w:val="000000"/>
          <w:sz w:val="16"/>
          <w:bdr w:val="single" w:sz="6" w:space="1" w:color="000000"/>
        </w:rPr>
        <w:t>Each $1.00 increase or decrease in the assumed public offering price of $4.44</w:t>
      </w:r>
      <w:r>
        <w:rPr>
          <w:color w:val="000000"/>
          <w:bdr w:val="single" w:sz="6" w:space="1" w:color="000000"/>
        </w:rPr>
        <w:t xml:space="preserve"> </w:t>
      </w:r>
      <w:r>
        <w:rPr>
          <w:rFonts w:ascii="Times New Roman" w:hAnsi="Times New Roman"/>
          <w:color w:val="000000"/>
          <w:sz w:val="16"/>
          <w:bdr w:val="single" w:sz="6" w:space="1" w:color="000000"/>
        </w:rPr>
        <w:t>per share, which is based on the last reported sale price of our Class A common stock on Nasdaq on</w:t>
      </w:r>
      <w:r>
        <w:rPr>
          <w:color w:val="000000"/>
          <w:bdr w:val="single" w:sz="6" w:space="1" w:color="000000"/>
        </w:rPr>
        <w:t xml:space="preserve"> </w:t>
      </w:r>
      <w:r>
        <w:rPr>
          <w:rFonts w:ascii="Times New Roman" w:hAnsi="Times New Roman"/>
          <w:color w:val="000000"/>
          <w:sz w:val="16"/>
          <w:bdr w:val="single" w:sz="6" w:space="1" w:color="000000"/>
        </w:rPr>
        <w:t>July 2, 2026, would increase or decrease the amount of our as adjusted cash and cash equivalents, working capital, total assets, and total stockholders’ equity by $6.6</w:t>
      </w:r>
      <w:r>
        <w:rPr>
          <w:color w:val="000000"/>
          <w:bdr w:val="single" w:sz="6" w:space="1" w:color="000000"/>
        </w:rPr>
        <w:t xml:space="preserve"> </w:t>
      </w:r>
      <w:r>
        <w:rPr>
          <w:rFonts w:ascii="Times New Roman" w:hAnsi="Times New Roman"/>
          <w:color w:val="000000"/>
          <w:sz w:val="16"/>
          <w:bdr w:val="single" w:sz="6" w:space="1" w:color="000000"/>
        </w:rPr>
        <w:t>million, assuming that the number of shares of Class A common stock offered, as set forth on the cover page of this prospectus, remains the same, after deducting estimated underwriting discounts and commissions payable by us. An increase or decrease of 1.0 million shares in the number of shares offered by us would increase or decrease, as applicable, the amount of our as adjusted cash and cash equivalents, working capital, total assets, and total stockholders’ equity by $4.2</w:t>
      </w:r>
      <w:r>
        <w:rPr>
          <w:color w:val="000000"/>
          <w:bdr w:val="single" w:sz="6" w:space="1" w:color="000000"/>
        </w:rPr>
        <w:t xml:space="preserve"> </w:t>
      </w:r>
      <w:r>
        <w:rPr>
          <w:rFonts w:ascii="Times New Roman" w:hAnsi="Times New Roman"/>
          <w:color w:val="000000"/>
          <w:sz w:val="16"/>
          <w:bdr w:val="single" w:sz="6" w:space="1" w:color="000000"/>
        </w:rPr>
        <w:t>million, assuming the assumed public offering price remains the same, and after deducting estimated underwriting discounts and commissions payable by us.</w:t>
      </w:r>
    </w:p>
    <w:p>
      <w:pPr>
        <w:pStyle w:val="TextBody"/>
        <w:bidi w:val="0"/>
        <w:spacing w:before="0" w:after="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(3)</w:t>
      </w:r>
    </w:p>
    <w:p>
      <w:pPr>
        <w:pStyle w:val="TextBody"/>
        <w:bidi w:val="0"/>
        <w:jc w:val="both"/>
        <w:rPr>
          <w:rFonts w:ascii="Times New Roman" w:hAnsi="Times New Roman"/>
          <w:color w:val="000000"/>
          <w:sz w:val="16"/>
          <w:bdr w:val="single" w:sz="6" w:space="1" w:color="000000"/>
        </w:rPr>
      </w:pPr>
      <w:r>
        <w:rPr>
          <w:rFonts w:ascii="Times New Roman" w:hAnsi="Times New Roman"/>
          <w:color w:val="000000"/>
          <w:sz w:val="16"/>
          <w:bdr w:val="single" w:sz="6" w:space="1" w:color="000000"/>
        </w:rPr>
        <w:t>Working capital is defined as current assets less current liabilities.</w:t>
      </w:r>
    </w:p>
    <w:p>
      <w:pPr>
        <w:pStyle w:val="TextBody"/>
        <w:bidi w:val="0"/>
        <w:jc w:val="left"/>
        <w:rPr>
          <w:bdr w:val="single" w:sz="6" w:space="1" w:color="000000"/>
        </w:rPr>
      </w:pPr>
      <w:r>
        <w:rPr>
          <w:bdr w:val="single" w:sz="6" w:space="1" w:color="000000"/>
        </w:rPr>
        <w:t> </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ind w:left="0" w:right="0" w:hanging="0"/>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Non-GAAP Financial Measure</w:t>
      </w:r>
    </w:p>
    <w:p>
      <w:pPr>
        <w:pStyle w:val="TextBody"/>
        <w:bidi w:val="0"/>
        <w:spacing w:before="240" w:after="283"/>
        <w:jc w:val="both"/>
        <w:rPr>
          <w:rFonts w:ascii="Times New Roman" w:hAnsi="Times New Roman"/>
          <w:color w:val="000000"/>
          <w:sz w:val="20"/>
          <w:bdr w:val="single" w:sz="6" w:space="1" w:color="000000"/>
        </w:rPr>
      </w:pPr>
      <w:r>
        <w:rPr>
          <w:rFonts w:ascii="Times New Roman" w:hAnsi="Times New Roman"/>
          <w:color w:val="000000"/>
          <w:sz w:val="20"/>
          <w:bdr w:val="single" w:sz="6" w:space="1" w:color="000000"/>
        </w:rPr>
        <w:t>In addition to our results and measures of performance determined in accordance with U.S. generally accepted accounting principles (“U.S. GAAP”), we also evaluate our operating performance using Adjusted EBITDA, a non-GAAP financial measure. We use this non-GAAP financial measure to evaluate our core operating performance, support planning and forecasting, and assess strategic opportunities. This non-GAAP financial measure is presented for supplemental informational purposes only, should not be considered a substitute for financial information presented in accordance with U.S. GAAP, and may be different from a similarly titled measure used by other companies. See the section titled “Management’s Discussion and Analysis of Financial Condition and Results of Operations—Non-GAAP Financial Measure” included in our Quarterly Report on Form 10-Q for the three months ended April 30, 2026, and in our Annual Report on Form 10-K for the year ended January 31, 2026, which are incorporated by reference in this prospectus, for more information regarding our use of Adjusted EBITDA.</w:t>
      </w:r>
    </w:p>
    <w:p>
      <w:pPr>
        <w:pStyle w:val="TextBody"/>
        <w:bidi w:val="0"/>
        <w:jc w:val="left"/>
        <w:rPr>
          <w:bdr w:val="single" w:sz="6" w:space="1" w:color="000000"/>
        </w:rPr>
      </w:pPr>
      <w:r>
        <w:rPr>
          <w:bdr w:val="single" w:sz="6" w:space="1" w:color="000000"/>
        </w:rPr>
        <w:t> </w:t>
      </w:r>
    </w:p>
    <w:tbl>
      <w:tblPr>
        <w:tblW w:w="10205" w:type="dxa"/>
        <w:jc w:val="left"/>
        <w:tblInd w:w="0" w:type="dxa"/>
        <w:tblLayout w:type="fixed"/>
        <w:tblCellMar>
          <w:top w:w="28" w:type="dxa"/>
          <w:left w:w="28" w:type="dxa"/>
          <w:bottom w:w="28" w:type="dxa"/>
          <w:right w:w="28" w:type="dxa"/>
        </w:tblCellMar>
      </w:tblPr>
      <w:tblGrid>
        <w:gridCol w:w="4745"/>
        <w:gridCol w:w="146"/>
        <w:gridCol w:w="211"/>
        <w:gridCol w:w="736"/>
        <w:gridCol w:w="166"/>
        <w:gridCol w:w="146"/>
        <w:gridCol w:w="211"/>
        <w:gridCol w:w="841"/>
        <w:gridCol w:w="166"/>
        <w:gridCol w:w="146"/>
        <w:gridCol w:w="217"/>
        <w:gridCol w:w="761"/>
        <w:gridCol w:w="171"/>
        <w:gridCol w:w="150"/>
        <w:gridCol w:w="217"/>
        <w:gridCol w:w="761"/>
        <w:gridCol w:w="414"/>
      </w:tblGrid>
      <w:tr>
        <w:trPr/>
        <w:tc>
          <w:tcPr>
            <w:tcW w:w="4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January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April 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to exclude: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from change in fair value of financial</w:t>
              <w:br/>
              <w:t>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related bonuses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(loss) from equity method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IPO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One-time employee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Opening balance sheet adjustment to the measurement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(16,506</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bdr w:val="single" w:sz="6" w:space="1" w:color="000000"/>
        </w:rPr>
      </w:pPr>
      <w:r>
        <w:rPr>
          <w:bdr w:val="single" w:sz="6" w:space="1" w:color="000000"/>
        </w:rPr>
        <w:t> </w:t>
      </w:r>
    </w:p>
    <w:p>
      <w:pPr>
        <w:pStyle w:val="TextBody"/>
        <w:bidi w:val="0"/>
        <w:spacing w:before="120" w:after="283"/>
        <w:ind w:left="0" w:right="0" w:hanging="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eading1"/>
        <w:bidi w:val="0"/>
        <w:spacing w:before="240" w:after="283"/>
        <w:jc w:val="center"/>
        <w:rPr>
          <w:rFonts w:ascii="Times New Roman" w:hAnsi="Times New Roman"/>
          <w:color w:val="000000"/>
          <w:sz w:val="20"/>
        </w:rPr>
      </w:pPr>
      <w:bookmarkStart w:id="5" w:name="risk_factors"/>
      <w:bookmarkEnd w:id="5"/>
      <w:r>
        <w:rPr>
          <w:rFonts w:ascii="Times New Roman" w:hAnsi="Times New Roman"/>
          <w:color w:val="000000"/>
          <w:sz w:val="20"/>
        </w:rPr>
        <w:t>RISK FACTORS</w:t>
      </w:r>
    </w:p>
    <w:p>
      <w:pPr>
        <w:pStyle w:val="TextBody"/>
        <w:bidi w:val="0"/>
        <w:spacing w:before="240" w:after="283"/>
        <w:jc w:val="both"/>
        <w:rPr>
          <w:rFonts w:ascii="Times New Roman" w:hAnsi="Times New Roman"/>
          <w:sz w:val="20"/>
        </w:rPr>
      </w:pPr>
      <w:r>
        <w:rPr>
          <w:rFonts w:ascii="Times New Roman" w:hAnsi="Times New Roman"/>
          <w:i/>
          <w:color w:val="000000"/>
          <w:sz w:val="20"/>
        </w:rPr>
        <w:t>Investing in our Class A common stock involves a high degree of risk. Before making an investment decision, you should consider carefully the risks and uncertainties described below, together with all of the other information in this prospectus, or incorporated by reference, including our consolidated financial statements and related notes thereto in our Annual Report on Form 10-K for the year ended January 31, 2026, and in our Quarterly Report on Form 10-Q for the quarter ended April 30, 2026, which is incorporated by reference in this prospectus. Our business, results of operations, financial condition or prospects could also be harmed by risks and uncertainties not currently known to us or that we currently do not believe are material. If any of the following risks occur, our business,</w:t>
      </w:r>
      <w:r>
        <w:rPr>
          <w:rFonts w:ascii="Times New Roman" w:hAnsi="Times New Roman"/>
          <w:color w:val="000000"/>
          <w:sz w:val="20"/>
        </w:rPr>
        <w:t xml:space="preserve"> </w:t>
      </w:r>
      <w:r>
        <w:rPr>
          <w:rFonts w:ascii="Times New Roman" w:hAnsi="Times New Roman"/>
          <w:i/>
          <w:color w:val="000000"/>
          <w:sz w:val="20"/>
        </w:rPr>
        <w:t>results of operations, financial condition and prospects could be adversely affected. In that event, the market price of our Class A common stock could decline, and you could lose part or all of your investment. Our risk factors are not guarantees that no such conditions exist as of the date of this prospectus and should not be interpreted as an affirmative statement that such risks or conditions have not materialized, in whole or in part.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limited operating history and experience with scaling our platform, which makes it difficult to evaluate our business and prospects and forecast our future results.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have limited operating history and experience with scaling our platform, which makes it difficult to evaluate our business and prospects and forecast our future results. In fiscal 2023, we generated the majority of our revenue from the </w:t>
      </w:r>
      <w:r>
        <w:rPr>
          <w:rFonts w:ascii="Times New Roman" w:hAnsi="Times New Roman"/>
          <w:i/>
          <w:color w:val="000000"/>
          <w:sz w:val="20"/>
        </w:rPr>
        <w:t xml:space="preserve">He Gets Us </w:t>
      </w:r>
      <w:r>
        <w:rPr>
          <w:rFonts w:ascii="Times New Roman" w:hAnsi="Times New Roman"/>
          <w:color w:val="000000"/>
          <w:sz w:val="20"/>
        </w:rPr>
        <w:t>media campaign. In fiscal 2024, we generated the majority of our revenue from sales of products and services through Outreach, which represented approximately 88% of our total revenue. We saw further diversification of our revenue during fiscal 2025 through acquisitions, which represented approximately 56% of our total revenue, as well as scaling our platform. Managing and expanding our operations is expensive and time-consuming, and our growth could be inhibited if we are unable to leverage our organization and resources effectively.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limited history and experience operating our current business may also negatively impact our ability to plan strategic acquisitions, investments and initiatives to further expand our business and platform offerings. In addition, existing and future operational and strategic initiatives may have long return-on-investment time-horizons. As a result, we will not be able to adequately assess the benefits of such acquisitions, investments and initiatives until we have already made substantial investments of time and capital, resulting in high opportunity costs. We are also devoting significant resources to bolstering our technology infrastructure, financial and accounting systems and controls, sales, marketing and engineering capabilities, and operations and support infrastructure, as well as to retain, manage and train employees in geographically dispersed locations to service new and existing customers. We may not successfully accomplish any of these objectives in a timely manner or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encountered and will continue to encounter risks and uncertainties frequently experienced by growing companies with limited operating histories. If our assumptions regarding such risks and uncertainties, which we use to plan and operate our business, are incorrect or change, or if we do not address these risks successfully, our results of operations could differ materially from our and our investors’ expectations and any longer-term benefits to our investors may not materialize within the timeframe we expect or at all, which could harm our business, results of operations, financial condition and prospects.</w:t>
      </w:r>
    </w:p>
    <w:p>
      <w:pPr>
        <w:pStyle w:val="TextBody"/>
        <w:bidi w:val="0"/>
        <w:spacing w:before="240" w:after="283"/>
        <w:jc w:val="both"/>
        <w:rPr>
          <w:rFonts w:ascii="Times New Roman" w:hAnsi="Times New Roman"/>
          <w:sz w:val="20"/>
        </w:rPr>
      </w:pPr>
      <w:r>
        <w:rPr>
          <w:rFonts w:ascii="Times New Roman" w:hAnsi="Times New Roman"/>
          <w:b/>
          <w:i/>
          <w:color w:val="000000"/>
          <w:sz w:val="20"/>
        </w:rPr>
        <w:t>Our recent growth may not be sustainable or indicative of future performance.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recent growth has placed and is expected to continue to place significant demands on our managerial, financial, operational, technological and other resources. The continued growth and expansion of our business depends on a number of factors, including our ability to:</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maintain and grow our platform offerings and user engagement;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 increasingly complex business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acquire and invest in additional Gloo Capital Partners;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 and renew subscriptions to our platform offerings;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increase the number of customers on our platform;</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increase the number and volume of transactions on our marketplace;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expand our sales and marketing organization to drive our sales pipeline;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expand our business;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increase awareness of our brands;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continue to innovate and introduce new platform offerings;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maintain operational and financial systems that can support our expected growth;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continue to increase operational and financial systems automation to reduce reliance on manual operations;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maintain and improve our technology infrastructure.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growth and expansion of our business will require significant additional resources, financial and otherwise, to meet our needs, which may not be available in a cost-effective manner or at all. Our investments may not result in the growth of our business. Even if our investments do result in the growth of our business, if we do not effectively manage our growth, we may not be able to successfully execute on our business plan, respond to competitive pressures, take advantage of market opportunities, maintain the quality of our platform or satisfy customer expectations, any of which could adversely affect our business, results of operations, financial condition and prospects. You should not rely on our historical rate of growth as an indication of our future performance or the rate of growth we may experience going forward or with respect to any new offerings we may introduce.</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a history of net losses and may not achieve profitability in the future.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incurred net losses since our inception, and we may not be able to achieve or maintain profitability in the future. Our expenses will likely increase in the future as we expect to invest significant additional funds to develop and expand our platform, increase our sales and marketing efforts and continue to operate as a public company, and we may not be able to increase our revenue enough to offset our increased operating expenses. Our efforts to grow our business may be more costly than we expect and may not result in increased revenue or growth in our business. We may make significant capital investments and incur recurring or new costs, and our investments may not generate sufficient returns. We may also be required to raise additional capital, which may not be available to us on favorable terms or at all. Any failure to increase our revenue sufficiently to keep pace with our investments and other expenses could prevent us from achieving or maintaining profitability or positive cash flow on a consistent basis or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unable to successfully address these risks and challenges as we encounter them, our business, results of operations, financial condition and prospects could be adversely affected. We may also incur significant losses in the future for a number of reasons, including the other risks described in this prospectus, and unforeseen expenses, difficulties, complications or delays, and other unknown events. We cannot assure you that we will ever achieve or sustain profitability and may continue to incur significant losses going forward. Any failure by us to achieve or sustain profitability on a consistent basis could have a material adverse effect on our business, financial condition and results of operations and cause the trading price of our Class A common stock to decline.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There is no assurance that we will be able to continue as a going concern without achieving profitable operations or raising additional capital through potential equity or debt financing transactions, which we may not be able to obtain on favorable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April 30, 2026, we held cash and cash equivalents of $33.0 million and had an accumulated deficit of $56.9 million. Additionally, since our inception, we have generated significant operating losses and we incurred net losses of $158.7 million and $85.8 million and used $80.5 million and $46.1 million of cash in operating activities for the years ended January 31, 2026 and 2025, respectively. We incurred a net loss of $17.1 million and used $17.1 million of cash in operating activities for the three months ended April 30, 2026. Our management assessed our current financial condition, characterized by recurring operating losses, negative cash flows, limited liquid resources and dependence on external financing, as well as the funds required to execute our business plan over the evaluation period. Based on these factors, our management has concluded there is substantial doubt about our ability to continue as a going concern for at least 12 months from the date the financial statements as of and for the three months ended April 30, 2026 are issued. Because it is not possible at this time to predict the outcome of future equity placements or additional borrowings, substantial doubt remains regarding our ability to continue as a going concern during the following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continue as a going concern will be dependent on ultimately achieving profitable operations or raising additional capital through potential equity or debt financing transactions or both. Additionally, our plans include, but are not limited to, generating revenue through subscriptions of our expanding technology and AI offerings, increased marketplace offerings and growing advertising services, as well as seeking external sources of liquidity. If adequate funds are not available, we may be required to delay or modify our business plans, potentially including the timing of planned capital expenditures, development and other activities, all of which, individually or in the aggregate, could have material negative consequences to us and our results of operations and business relationships. Additionally, the sale of additional equity may dilute existing stockholders and newly issued shares may contain senior rights and preferences compared to currently outstanding shares of our Class A common stock. Issued debt securities may contain covenants and limit our ability to pay dividends or make other distributions to stockholders.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to acquire new customers or the faith and flourishing ecosystem does not develop as we anticipate, our sales will not grow as quickly as expected, or at all, and our business, financial condition and results of operations will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market for our platform is substantial. However, it is uncertain to what extent or how widespread market acceptance of our platform will be or how long such acceptance, if achieved, may be sustained. Many NCPs and CFLs have not traditionally used integrated and comprehensive platforms like ours for their specific needs. We cannot be certain that the market for our offerings will continue to develop and grow or that NCPs and CFLs will elect to use our platform over alternatives. Potential customers that have already invested substantial resources in alternatives to our platform might be reluctant to switch to our platform. If the demand for and market acceptance of our platform offerings do not increase, we might not be able to effectively grow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existing customers and potential customers do not perceive our offerings to be beneficial, or choose not to adopt them as a result of concerns regarding privacy, cybersecurity, accessibility or other reasons, or as a result of negative incidents or experiences they encounter through our platform, or instead opt to use alternatives to our platform, then the market for the platform may not continue to grow, may grow slower than we expect or may not achieve the growth potential we expect, any of which could materially adversely affect our business, financial condition, results of operations and prospects.</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to retain our customers, or our customers do not renew or extend their subscriptions or other contracts, or renew or extend on less favorable terms, our revenue may decline or grow less quickly than anticipated, which would harm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order to continue to grow our business, it is important that our customers renew or extend their subscriptions or other contracts with us and that we expand our relationships with our existing customers. Most of our customers have no obligation to renew their subscriptions or extend their contracts with us, and they may decide not to do so at the same prices and on the same terms or at all. Additionally, some of our customers may terminate their relationship with us for convenience. It is difficult to accurately predict whether we will have future success in retaining customers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expanding our relationships with them. We have experienced growth in the number of customers, but we do not know whether we will continue to achieve similar growth or achieve any growth at all. Our ability to retain customers and expand our offerings with them may decline or fluctuate as a result of a number of factors, including customers’ satisfaction with our offerings, the quality and timeliness of our customer support services, our prices, the prices and features of competing solutions, reductions in customers’ spending levels and our release of future offerings. If customers do not renew their existing subscriptions or extend their contracts with us, renew or extend on less favorable terms, or fail to expand their engagement with us, our revenue may decline or grow less quickly than anticipated, which would harm our business, financial condition and results of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A decrease in charitable donations or other external funding of our customers and potential customers may result in reduced demand for our platform offerings, which could adversely affect our business, results of operations, financial condition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and potential customers include churches, ministries, foundations, nonprofit organizations and other members of the faith and flourishing ecosystem that fully or partially rely on charitable donations, grants, government aid and philanthropic contributions to fund their operations, including to pay for offerings like ours. Consequently, a significant portion of our revenue indirectly depends on the availability of such external funding. We have limited ability to influence the fundraising efforts and external funding decisions that impact our customers and potential customers, and any reduction in their ability to secure necessary funding for their operations exposes us to fluctuations in demand for our platform offerings, which could adversely affect our business, financial condition and results of operations. For example, the frequency and amounts of charitable donations may decrease from time to time as a result of deteriorating general economic conditions, changes to applicable tax laws, a sustained or significant decline in religious affiliation or participation in the faith and flourishing ecosystem, shifts in philanthropic priorities and other factors that limit available financial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Failure to effectively develop and expand our sales and marketing capabilities, including reliance on product-led sales efforts, could harm our ability to increase our customer base and achieve broader market acceptance and utilization of our platform.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increase our customer base and achieve broader market acceptance of our platform depends significantly on our ability to expand our sales and marketing organizations and deploy our resources efficiently. An important component of our growth strategy is to increase the cross-selling of our platform and services to current and future customers. However, if we are not successful in doing so, or our existing and potential customers find our additional solutions and services unnecessary or unattractive, we may not be able to increase our customer base.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expanding our direct sales force, we rely on product-led sales efforts to drive growth, where our platform is designed to attract users through self-service and organic adoption. While this strategy can reduce reliance on traditional sales methods, it poses unique challenges. Product-led efforts may have limited success if our platform does not gain sufficient visibility or resonate with prospective users. Furthermore, product-led growth requires significant investment in continuous innovation and optimization of our platform to maintain its attractiveness and utility, which may not always yield the desired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invested, and plan to continue to invest, significant resources in expanding our sales initiatives as well as our sales force focused on identifying new strategic partners. However, we may not achieve anticipated revenue growth from expanding our sales force if we are unable to hire, develop, integrate and retain talented and effective sales personnel, or if our new and existing sales personnel are unable to achieve desired productivity levels in a reasonable period of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dedicate significant resources to sales and marketing programs. The effectiveness and cost of our online advertising has varied over time and may vary in the future due to competition for key search terms, changes in search engine use and changes in the search algorithms and rules used by major search engines. These efforts will require us to invest significant financial and other resources. Our business, financial condition and results of operations will be harmed if our sales and marketing efforts, including our reliance on product-led sales strategies, do not generate significant increases in revenue.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subject to certain risks as a mission-driven company.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mission and company values are a significant part of our business strategy and who we are as a company. We believe that customers and users value our commitment to our mission. However, because we hold ourselves to such high standards, and because we believe our customers and users have high expectations of us, we may be more severely affected by negative reports or publicity if we fail, or are perceived to have failed, to live up to our mission. As a result, our brand and reputation may be negatively affected by actions we take that are viewed as contrary to that mission. In certain situations, the damage to our reputation may be greater than to other companies that do not share similar values with us, and it may take us longer to recover from such an incident and gain back the trust of our existing and potential customers. We may make decisions regarding our business and platform offerings in accordance with our mission and values that may reduce our short- or medium-term results of operations if we believe those decisions are consistent with our mission and will improve the aggregate customer and user experience. Although we expect that our commitment to our mission will, accordingly, improve our financial performance over the long term, these decisions may not be consistent with the expectations of investors and any longer-term benefits may not materialize within the time frame we expect or at all, which could harm our business, results of operations, financial condition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depend on Mr. Beck and our senior management team to operate our business, and the loss of one or more of them could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depend on the continued services and performance of our co-founder, president and chief executive officer, Mr. Beck, as well as other members of our senior management team. Mr. Beck has been responsible for setting our strategic vision since our inception, and should he or other members of our senior management team discontinue serving us due to death, disability or any other reason, we may be significantly disadvantaged as it could disrupt our operations, create uncertainty among investors, adversely impact employee retention and morale, and otherwise harm our business. Their departure or the departure of other key contributors to our technology and other development efforts could adversely affect the continued growth of our business and negatively impact our financial condition and results of operations. We may have difficulty finding, or be unable to find, qualified successors to any such persons should they depart.</w:t>
      </w:r>
    </w:p>
    <w:p>
      <w:pPr>
        <w:pStyle w:val="TextBody"/>
        <w:bidi w:val="0"/>
        <w:spacing w:before="240" w:after="283"/>
        <w:jc w:val="both"/>
        <w:rPr>
          <w:rFonts w:ascii="Times New Roman" w:hAnsi="Times New Roman"/>
          <w:sz w:val="20"/>
        </w:rPr>
      </w:pPr>
      <w:r>
        <w:rPr>
          <w:rFonts w:ascii="Times New Roman" w:hAnsi="Times New Roman"/>
          <w:b/>
          <w:i/>
          <w:color w:val="000000"/>
          <w:sz w:val="20"/>
        </w:rPr>
        <w:t>The failure to attract and retain additional qualified personnel could harm our business and prevent us from executing our business strategy.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our success has depended, and continues to depend, on the efforts and talents of our executives and employees. Our future success depends on our continuing ability to retain, develop, motivate and attract highly qualified and skilled employees. Qualified individuals are in high demand, and we may incur significant costs to retain and attract them. If any new hires that we make fail to work together effectively and execute our plans and strategies on a timely basis, then our business and future growth prospects could be harmed. In addition, we issue equity awards to certain of our employees as part of our hiring and retention efforts, and job candidates and existing employees often consider the value of the equity awards they receive in connection with their employment. If the perceived value of our equity awards declines, including as a result of volatility or declines in the trading price of our Class A common stock or changes in perception about our future prospects (including as valuations of companies comparable to us decline due to overall market trends, inflation and related market effects or otherwise), it may adversely affect our ability to recruit and retain highly qualified employees. In addition, we may periodically change our equity compensation practices, which may include reducing the number of employees eligible for equity awards, reducing the size or value of equity awards granted per employee or undertaking other efforts that may prove to be an unsuccessful retention mechanism. If we are unable to attract, integrate or retain the qualified and highly skilled personnel required to fulfill our current or future needs, our business and prospects could be harmed.</w:t>
      </w:r>
    </w:p>
    <w:p>
      <w:pPr>
        <w:pStyle w:val="TextBody"/>
        <w:bidi w:val="0"/>
        <w:spacing w:before="240" w:after="283"/>
        <w:jc w:val="both"/>
        <w:rPr>
          <w:rFonts w:ascii="Times New Roman" w:hAnsi="Times New Roman"/>
          <w:sz w:val="20"/>
        </w:rPr>
      </w:pPr>
      <w:r>
        <w:rPr>
          <w:rFonts w:ascii="Times New Roman" w:hAnsi="Times New Roman"/>
          <w:b/>
          <w:i/>
          <w:color w:val="000000"/>
          <w:sz w:val="20"/>
        </w:rPr>
        <w:t>If we do not continue to innovate and further develop our platform offerings, if our platform developments do not perform as anticipated or if we are not able to keep pace with technological developments, we may not remain competitive, and our business, results of operations, financial condition and prospects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made substantial investments in our technologies to capitalize on new and unproven business opportunities. Our future performance is dependent on continued investments in technology and our ability to innovate, enhance and introduce compelling new platform offerings for our customers and potential customers. We intend to make continued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investments in these areas through hiring of highly qualified employees and ongoing technology transformation. We plan to further invest in AI-powered capabilities and leverage our unique dataset to further improve our platform offerings. If competitors introduce new offerings embodying new technologies, or if new industry standards and practices emerge, our existing technology may become obsolete. Our future success could depend on our ability to respond to technological advances and emerging industry standards and practices in a cost-effective and timely manner. These initiatives also have a high degree of risk, as they involve unproven business strategies and technologies with which we have limited development or operating experience. The success of enhancements to existing offerings and introductions of new offerings depends on several factors, including timely completion, market introduction and market acceptance. Further, our development efforts with respect to new technologies could distract management from current operations and divert capital and other resources from other initiatives, and may not result in long-term revenue growth.</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develop, maintain and enhance our brand and reputation cost-effectively, our business, financial condition and results of operations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the brand identity, reputation and awareness of Gloo and Gloo Capital Partners is critical to our sales and marketing efforts and continued business growth. In the faith and flourishing ecosystem, our reputation and the quality of our brand are uniquely important to our business, and the faith and flourishing ecosystem is particularly susceptible to scrutiny and criticism. We also believe that maintaining and enhancing these brands are critical to maintaining and expanding our customer base. Any unfavorable publicity about our company or our management, including about the quality, stability and reliability of our platform, changes to our platform, our privacy and cybersecurity practices, litigation, employee relations, regulatory enforcement and other actions involving us, as well as the perception of us and our platform by our customers and users, even if inaccurate, could cause a loss of confidence in us and adversely affect our brand.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widespread use of social media platforms and other forms of internet-based communication provide individuals with access to a broad audience of consumers and other interested persons. Many social media platforms immediately publish the content their users post, often without filters or checks on the accuracy of the content. Adverse or inaccurate information concerning us may be posted on such platforms at any time, and such posts can be amplified quickly, potentially harming our reputation, performance, prospects or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rely on the reputation of third parties affiliated with us, such as partners across the faith and flourishing ecosystem, to reflect positively on our business. Unfavorable media coverage or public controversy involving these affiliated third parties, even if we are not directly involved, may be perceived by our users and customers as reflecting poorly on us or our values. Although our acceptable use policy incorporated into our terms of service provides for express limitations on how our customers can use our platform and we reserve our right to remove content that violates our acceptable use policy, it may not always be possible to remove such content prior to it receiving unfavorable attention or publicity. Any such harm to our brand and reputation could diminish trust among our customers and users, negatively impact demand for our platform and adversely affect our business. Negative publicity involving us or affiliated third parties could also have an adverse effect on the size and engagement of our customer base and could result in decreased revenue, which could have an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markets in which we participate are competitive, and if we do not compete effectively, our business, financial condition and results of operations could be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platform operates across a broad and highly fragmented market. We believe our competition primarily falls into five categories: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Faith-tech and general market point solutions, including providers of church management systems, communications tools and engagement platforms such as Subsplash, Ministry Brands, Planning Center and Mailchimp that compete with the Gloo Workspace communications and insights products;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Proprietary and custom systems, including larger ministries that build internal technology stacks that compete with our Gloo 360 solutions;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Traditional advertising networks, including large media and marketing platforms that offer reach and audience access such as Meta and Google that compete with the Gloo Media Network;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Technology development solutions, including providers that compete with the platform solutions offered by our Gloo Capital Partners, Midwestern and Servant.io;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Specialized and general e-commerce marketplaces, including providers of physical and digital products sold to CFLs for their operations, such as Amazon and Concordia Supply that compete with Outreach and our other e-commerce marketplaces.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competitors may have greater resources, broader brand recognition, deeper relationships with customers or more experience with certain technologies. If we fail to differentiate our offerings, maintain or grow our relationships with key ministry leaders and churches, or effectively adapt to evolving technology and customer preferences, we may fail to achieve widespread adoption of our platform and our business, financial condition and results of operations could be harmed. </w:t>
      </w:r>
    </w:p>
    <w:p>
      <w:pPr>
        <w:pStyle w:val="TextBody"/>
        <w:bidi w:val="0"/>
        <w:spacing w:before="240" w:after="283"/>
        <w:jc w:val="both"/>
        <w:rPr>
          <w:rFonts w:ascii="Times New Roman" w:hAnsi="Times New Roman"/>
          <w:sz w:val="20"/>
        </w:rPr>
      </w:pPr>
      <w:r>
        <w:rPr>
          <w:rFonts w:ascii="Times New Roman" w:hAnsi="Times New Roman"/>
          <w:b/>
          <w:i/>
          <w:color w:val="000000"/>
          <w:sz w:val="20"/>
        </w:rPr>
        <w:t>We</w:t>
      </w:r>
      <w:r>
        <w:rPr>
          <w:rFonts w:ascii="Times New Roman" w:hAnsi="Times New Roman"/>
          <w:color w:val="000000"/>
          <w:sz w:val="20"/>
        </w:rPr>
        <w:t xml:space="preserve"> </w:t>
      </w:r>
      <w:r>
        <w:rPr>
          <w:rFonts w:ascii="Times New Roman" w:hAnsi="Times New Roman"/>
          <w:b/>
          <w:i/>
          <w:color w:val="000000"/>
          <w:sz w:val="20"/>
        </w:rPr>
        <w:t>have been and may in the future become subject to claims, lawsuits, investigations, litigation and other proceedings that may harm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from time to time been subject to claims, disputes, regulatory investigations or legal proceedings. We may in the future be subject to claims, disputes, regulatory investigations, class action, whistleblower and other litigation, and other proceedings, including those relating to intellectual property, privacy, commercial, recordings, AI-technologies, product liability, employment or the use of cookies, pixels or other tracking technology. The number and significance of any claim, dispute, investigation, litigation or other proceeding may increase as our business expands. Any such actual or threatened matter, even if unfounded, can be time-consuming, divert management’s attention and resources, cause us to incur significant expenses or liability or require us to change our business practices. In addition, the amount and timing of expenses that we may need to incur in response to any of the foregoing matters from period to period are difficult to estimate, subject to change and may harm our financial condition and results of operations. Because of the potential risks, expenses and uncertainties of any claim, dispute, regulatory investigation, litigation or other proceeding, we may choose to settle these matters even where we have meritorious claims or defenses. Any of the foregoing matters may harm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require additional capital to support the growth of our business, and such capital might not be available on favorable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and growing our business have consumed substantial amounts of cash since inception and we intend to continue to make significant investments to support our business growth, acquire or invest in complementary businesses and technologies, respond to business challenges or opportunities, develop new offerings and enhance our existing platform and technology infrastructure. Our future capital requirements may be significantly different from our current estimates and will depend on many factors, including the need to finance unanticipated working capital requirements, develop or enhance our technological infrastructure and our existing offerings and manage costs associated with adverse market conditions or other macroeconomic factors. We may be presented with opportunities that we want to pursue, and unforeseen challenges may present themselves, any of which could cause us to require additional capital. If, in the future, we aim to rely on funds raised through equity or debt financing, those funds may prove to be unavailable, may only be available on terms that are not acceptable to us or may result in significant dilution to our stockholders or higher levels of leverage, which would expose our business to additional risks. Any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it could have a material adverse effect on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payment-related risks and may incur significant losses from fraud.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accept payments using a variety of methods, including credit card, debit card, and other third-party payment vendors, which subjects us to certain regulations and the risk of fraud, and we may in the future offer new payment options to customers that would be subject to additional regulations and risks. We pay interchange and other fees in connection with credit card payments, which may increase over time and adversely affect our operating results. While we use a third party to process payments, we are subject to payment card association operating rules and certification requirements, including the Payment Card Industry Data Security Standard and rules governing electronic funds transfers. If we fail to comply with applicable rules and regulations, we may be subject to fines or higher transaction fees and may lose our ability to accept online payments or other payment card transactions. In addition, we may become liable for fraudulent transactions and our failure to adequately prevent fraudulent transactions could damage our reputation, result in litigation or regulatory action and lead to expenses that could substantially impact our operating results. If any of these events were to occur, our business, financial condition and results of operations could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Engagement by users on our platform and our ability to monetize our platform depend upon effective operation within and compatibility with operating systems, networks, devices, web browsers and standards, including mobile operating systems, networks and standards that we do not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make our platform available across a variety of operating systems and through websites. We are dependent on the compatibility of our platform with popular devices, desktop and mobile operating systems, and web browsers that we do not control, such as Android and iOS. Any changes in such systems, devices or web browsers that degrade the functionality of our platform or give preferential treatment to competitive content could adversely affect usage of our platform.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procure third-party insurance policies to cover various operations-related risks, including employment practices liability, workers’ compensation, business interruptions, errors and omissions, cybersecurity and data breaches, crime, directors’ and officers’ liability, and general business liabilities. For certain types of operations-related risks or future risks related to our new and evolving offerings, we are not able to, or may not be able to, acquire insurance. In addition, we may not obtain enough insurance to adequately mitigate such operations-related risks or risks related to our new and evolving offerings, and we may have to pay high premiums, co-insurance, self-insured retentions or deductibles for the coverage we do obtain. We rely on a limited number of insurance providers, and should such providers discontinue or increase the cost of coverage, we cannot guarantee that we would be able to secure replacement coverage on reasonable terms or at all.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amount of one or more operations-related claims were to exceed our applicable aggregate coverage limits, we would bear the excess, in addition to amounts already incurred in connection with deductibles, self-insured retentions, co-insurance, or otherwise paid by our insurance policy. Insurance providers have raised premiums and deductibles for many businesses and may do so in the future. As a result, our insurance costs and claims expense could increase, or we may decide to raise our deductibles or self-insured retentions when our policies are renewed or replaced. The foregoing factors could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subject to certain contractual requirements to obtain insurance. For example, some of our agreements with partners require that we procure certain types of insurance, and if we are unable to obtain and maintain such insurance, we may be in violation of the terms of these agreements. In addition, we are subject to local laws, rules, and regulations relating to insurance coverage which could result in proceedings or actions against us by governmental entities or others. Any failure or perceived failure by us to comply with existing or future local laws, rules and regulations,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contractual obligations relating to insurance coverage could result in proceedings or actions against us by governmental entities or others. Additionally, anticipated or future local laws, rules, and regulations relating to insurance coverage, could require additional fees and costs. Compliance with these rules and any related lawsuits, proceedings, or actions may subject us to significant penalties and negative publicity, require us to increase our insurance coverage, require us to amend our insurance policy disclosure, increase our costs, and disrupt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risks related to the banking ecosystem, including through our bank partnership, FDIC regulations and policies, and other regulatory obligations, which could adversely affect our liquidity and financial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Volatility in the banking and financial services sectors, including bank failures, may impact our bank partnership and negatively impact our business. For example, we maintain domestic cash deposits in Federal Deposit Insurance Corporation (“FDIC”) insured banks that exceed the FDIC insurance limits and we intend to offer access to FDIC-insured deposit products through our partnership with our bank partner, which is a member of the FDIC. 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through contractual obligations to our bank partner in connection with these programs, we are subject to risk management standards for third-party relationships in accordance with federal bank regulatory guidance and examinations by our bank partner’s federal banking regulator. Should we or our bank partner be unable to satisfy these standards, we may have to discontinue certain products or third-party relationships, and our business, financial condition and results of operations may be adversely affected.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Acquisitions and Investments</w:t>
      </w:r>
    </w:p>
    <w:p>
      <w:pPr>
        <w:pStyle w:val="TextBody"/>
        <w:bidi w:val="0"/>
        <w:spacing w:before="240" w:after="283"/>
        <w:jc w:val="both"/>
        <w:rPr>
          <w:rFonts w:ascii="Times New Roman" w:hAnsi="Times New Roman"/>
          <w:sz w:val="20"/>
        </w:rPr>
      </w:pPr>
      <w:r>
        <w:rPr>
          <w:rFonts w:ascii="Times New Roman" w:hAnsi="Times New Roman"/>
          <w:b/>
          <w:i/>
          <w:color w:val="000000"/>
          <w:sz w:val="20"/>
        </w:rPr>
        <w:t>Revenues and profits generated through our acquisitions and investments may be less than anticipated, and we may fail to uncover all acquired liabilities that could result in unanticipated costs, losses, declines in profits and potential impairment charges, and for which we may not be indemnified in full.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fiscal 2023 and fiscal 2024, we acquired or invested in, among others, Outreach and Visitor Reach. For additional details about those acquisitions and investments, see </w:t>
      </w:r>
      <w:r>
        <w:rPr>
          <w:rFonts w:ascii="Times New Roman" w:hAnsi="Times New Roman"/>
          <w:i/>
          <w:color w:val="000000"/>
          <w:sz w:val="20"/>
        </w:rPr>
        <w:t>Note 4, Business Combinations</w:t>
      </w:r>
      <w:r>
        <w:rPr>
          <w:rFonts w:ascii="Times New Roman" w:hAnsi="Times New Roman"/>
          <w:color w:val="000000"/>
          <w:sz w:val="20"/>
        </w:rPr>
        <w:t xml:space="preserve">, and </w:t>
      </w:r>
      <w:r>
        <w:rPr>
          <w:rFonts w:ascii="Times New Roman" w:hAnsi="Times New Roman"/>
          <w:i/>
          <w:color w:val="000000"/>
          <w:sz w:val="20"/>
        </w:rPr>
        <w:t>Note 5, Equity Method Investments</w:t>
      </w:r>
      <w:r>
        <w:rPr>
          <w:rFonts w:ascii="Times New Roman" w:hAnsi="Times New Roman"/>
          <w:color w:val="000000"/>
          <w:sz w:val="20"/>
        </w:rPr>
        <w:t xml:space="preserve">, to our audited consolidated financial statements included in Part II, Item 8 of our Annual Report on Form 10-K for the year ended January 31, 2026. In fiscal 2025, we acquired or invested in Barna, Carey Nieuwhof Communications Ltd., Servant, Masterworks, Creative Group, LLC and its wholly-owned subsidiaries, XRI Global, Inc. (“XRI”) and Westfall Group Inc. (“Westfall Group”), obtained control of Midwestern, thereby consolidating Midwestern, and acquired the remaining 56.8% of Sermons Tech. For additional details, see </w:t>
      </w:r>
      <w:r>
        <w:rPr>
          <w:rFonts w:ascii="Times New Roman" w:hAnsi="Times New Roman"/>
          <w:i/>
          <w:color w:val="000000"/>
          <w:sz w:val="20"/>
        </w:rPr>
        <w:t>Note 4, Business Combinations</w:t>
      </w:r>
      <w:r>
        <w:rPr>
          <w:rFonts w:ascii="Times New Roman" w:hAnsi="Times New Roman"/>
          <w:color w:val="000000"/>
          <w:sz w:val="20"/>
        </w:rPr>
        <w:t xml:space="preserve">, and </w:t>
      </w:r>
      <w:r>
        <w:rPr>
          <w:rFonts w:ascii="Times New Roman" w:hAnsi="Times New Roman"/>
          <w:i/>
          <w:color w:val="000000"/>
          <w:sz w:val="20"/>
        </w:rPr>
        <w:t>Note 5, Equity Method Investments</w:t>
      </w:r>
      <w:r>
        <w:rPr>
          <w:rFonts w:ascii="Times New Roman" w:hAnsi="Times New Roman"/>
          <w:color w:val="000000"/>
          <w:sz w:val="20"/>
        </w:rPr>
        <w:t>, to our audited consolidated financial statements included in Part II, Item 8 of our Annual Report on Form 10-K for the year ended January 31, 2026.</w:t>
      </w:r>
      <w:r>
        <w:rPr>
          <w:rFonts w:ascii="Times New Roman" w:hAnsi="Times New Roman"/>
          <w:color w:val="0000FF"/>
          <w:sz w:val="20"/>
        </w:rPr>
        <w:t xml:space="preserve"> </w:t>
      </w:r>
      <w:r>
        <w:rPr>
          <w:rFonts w:ascii="Times New Roman" w:hAnsi="Times New Roman"/>
          <w:color w:val="000000"/>
          <w:sz w:val="20"/>
        </w:rPr>
        <w:t xml:space="preserve">We expect to continue to pursue strategic acquisitions and investments intended to enhance and grow our platform and business. In evaluating and determining the purchase price for a prospective acquisition or investment, we estimate future revenues and profits based largely on historical financial performance and expected future contribution value to our platform. Following a transaction, the business we acquired or invested in may not perform as we expected and the anticipated benefits of the transaction, including our revenue or return on investment assumptions, may not be fully realized or at all. For example, for fiscal 2024, primarily because of delays in executing on strategic initiatives related to our Outreach acquisition consummated during fiscal 2023, we recorded a $27.8 million impairment charge to goodwill. For additional details about the impairment charge recorded to goodwill, see </w:t>
      </w:r>
      <w:r>
        <w:rPr>
          <w:rFonts w:ascii="Times New Roman" w:hAnsi="Times New Roman"/>
          <w:i/>
          <w:color w:val="000000"/>
          <w:sz w:val="20"/>
        </w:rPr>
        <w:t>Note 11, Goodwill</w:t>
      </w:r>
      <w:r>
        <w:rPr>
          <w:rFonts w:ascii="Times New Roman" w:hAnsi="Times New Roman"/>
          <w:color w:val="000000"/>
          <w:sz w:val="20"/>
        </w:rPr>
        <w:t>, to our audited consolidated financial statements included in Part II, Item 8 of our Annual Report on Form 10-K for the year ended January 31,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perform a due diligence review of each of our acquisition and investment targets. This due diligence review, however, may not adequately uncover all of the contingent or undisclosed liabilities we may incur as a consequence of the proposed acquisition, exposing us to potentially significant, unanticipated costs, as well as potential impairment charges. Although a seller generally will have indemnification obligations to us under an acquisition or merger agreement, these obligations usually will be subject to financial limitations, such as general deductibles and maximum recovery amounts, as well as time limitations and risks related to collection. We cannot assure you that our right to indemnification from any seller will be enforceable, collectible or sufficient in amount, scope or duration to fully offset the amount of any undiscovered or underestimated liabilities that we may incur. Any such liabilities, individually or in the aggregate, could have a material adverse effect on our business, financial condition and results of operations. In addition, our insurance does not cover all of our potential losses, and we are subject to various self-insured retentions and deductibles under our insurance. Although we believe we have sufficient reserves for contingencies, a judgment may be rendered against us in cases in which we could be uninsured or which exceed the amounts that we currently have reserved or anticipate incurring for such matters.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identify attractive acquisition or investment targets, acquire or invest in them at attractive prices or successfully integrate their operations or otherwise realize their anticipated benefits, we may be unsuccessful in growing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significant portion of our growth has been driven by our acquisitions of and investments in complementary businesses and technologies that grow our platform offerings, expand our reach and strengthen valuable relationships. However, there can be no assurance that we will find attractive acquisition or investment targets in the future, that we will acquire or invest in them at attractive prices, that we will succeed at effectively managing integration into our existing operations or that such acquisitions or investments will be well received by our current and potential customers or our investors. We could also encounter higher-than-expected earn-out payments, unforeseen transaction- and integration-related costs or delays or other circumstances such as disputes with or the loss of key or other personnel from acquired businesses, challenges or delays in integrating systems or technology of acquired businesses, a deterioration in our key relationships, harm to our reputation with customers, interruptions in our business activities or unforeseen or higher-than-expected inherited liabilities. Many of these potential circumstances are outside of our control and any of them could result in increased costs, decreased revenue, decreased synergies or the diversion of management time and attention.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order for us to continue to grow our business through acquisitions and investments we will need to identify appropriate opportunities and acquire them at attractive prices. We may choose to pay cash, incur debt or issue equity securities to pay for any such acquisition. The incurrence of indebtedness would result in increased fixed obligations and could also include covenants or other restrictions that would impede our ability to manage our operations. The sale of equity to finance any such acquisition, or the issuance of equity to pay purchase consideration, would result in dilution to our stockholders.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Sellers in our acquisitions of Visitor Reach and Midwestern have repurchase rights during specified periods, and any exercise of such rights could adversely affect our business, financial condition and results of operations. The existence of the repurchase rights may increase the likelihood of an impairment charge, complicate the overall integration process and decrease the benefits potentially realizable from investment synergies.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our acquisitions of Visitor Reach and Midwestern, we granted the counterparties contractual rights to repurchase a portion of the business interests that we acquired, subject to certain conditions and over specified periods. If any such repurchase rights are exercised, we may be required to unwind part or all of a completed acquisition or divest all or a portion of a completed investment, on terms that may not be favorable to us, which could result in the loss of strategic or core assets or future revenue streams. The exercise of these repurchase rights may also require us to deconsolidate such entities from our consolidated financial statements, which would adversely affect our financial condition, results of operations and prospects. For example, if all repurchase rights outstanding as of January 31, 2026 were exercisable as of such date and were exercised on such date, we would be required to deconsolidate $11.5 million, or 12.2%, of our fiscal 2025 revenue and $6.0 million, or 3.8%, of our fiscal 2025 net loss. If all repurchase rights outstanding as of January 31, 2025 were exercisable as of such date and were exercised on such date, we would be required to deconsolidate $0.2 million, or 0.8%, of our fiscal 2024 revenue and $0.1 million, or an immaterial percent, of our fiscal 2024 net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exercise of repurchase rights may also lead to other financial and operational disruption and require us to restructure our operations or write down previously recognized goodwill or intangible assets. Moreover, the existence of repurchase rights may affect our ability to integrate acquired businesses and reduce the certainty of long-term ownership, which could adversely affect our ability to realize the benefits of these acquisitions and investments. Such repurchase rights increase the consideration paid for acquisitions, which then may also increase the likelihood that we take impairment charges subsequent to the closing of acquisitions or investments.</w:t>
      </w:r>
    </w:p>
    <w:p>
      <w:pPr>
        <w:pStyle w:val="TextBody"/>
        <w:bidi w:val="0"/>
        <w:spacing w:before="240" w:after="283"/>
        <w:jc w:val="both"/>
        <w:rPr>
          <w:rFonts w:ascii="Times New Roman" w:hAnsi="Times New Roman"/>
          <w:sz w:val="20"/>
        </w:rPr>
      </w:pPr>
      <w:r>
        <w:rPr>
          <w:rFonts w:ascii="Times New Roman" w:hAnsi="Times New Roman"/>
          <w:b/>
          <w:i/>
          <w:color w:val="000000"/>
          <w:sz w:val="20"/>
        </w:rPr>
        <w:t>Sellers in certain of our prior investments have the right to require Mr. Beck and certain of his affiliates to purchase the Gloo shares received in such transaction</w:t>
      </w:r>
      <w:r>
        <w:rPr>
          <w:rFonts w:ascii="Times New Roman" w:hAnsi="Times New Roman"/>
          <w:color w:val="000000"/>
          <w:sz w:val="20"/>
        </w:rPr>
        <w:t xml:space="preserve"> </w:t>
      </w:r>
      <w:r>
        <w:rPr>
          <w:rFonts w:ascii="Times New Roman" w:hAnsi="Times New Roman"/>
          <w:b/>
          <w:i/>
          <w:color w:val="000000"/>
          <w:sz w:val="20"/>
        </w:rPr>
        <w:t>at a given price during specified periods. If such rights are exercised and Mr. Beck chooses to sell a substantial number of the shares of Class A common stock owned by him or his affiliates to obtain funding for such purchases, the trading price of our Class A common stock could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certain of our prior investments, Mr. Beck has granted sellers the right to require him and certain of his affiliates, who collectively own a significant number of our outstanding shares of common stock, to purchase the Gloo shares received in the transaction at a given price during specified periods. If any such rights are exercised, Mr. Beck and his affiliates may choose to liquidate a substantial number of our shares of Class A common stock to finance the purchase price. Any substantial sale of shares by Mr. Beck or his affiliates could cause the trading price of our Class A common stock to decline.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required to acquire full ownership of Barna Holdings LLC under unfavorable terms upon the termination of one of such company's executive officers, which could materially adversely affect our financial condition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February 2025, we acquired a 49% equity interest in Barna Holdings LLC (“Barna”). Under the organizational documents of Barna and an employment agreement with one of its executives, if such executive is terminated under certain conditions and circumstances, we may be obligated to acquire the remaining ownership interest in Barna at fair market value as determined by an independent qualified appraiser. Such acquisition may occur at a time or on terms that we do not believe to be favorable to us and may require us to make a significant unplanned capital expenditure. Such acquisition could materially affect our liquidity, require us to raise additional capital and divert management attention, each of which could materially adversely affect our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Acquisitions and investments could divert the attention of management, disrupt our business and otherwise adversely affect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our business strategy, we have made and intend to continue to make acquisitions and investments to expand our platform offerings and grow our business in response to changing technologies and competitive pressures. Any acquisition or investment, including the integration process, requires significant time and resources that may divert the attention of our management from day-to-day operations, strain our internal resources and disrupt our business, and we may not be able to manage the process successfully. Even when acquisitions and investments are completed successfully, we may face challenges integrating the acquired business, including aligning cultures, systems, personnel, customer relationships and operational processes. If we fail to successfully integrate acquisitions or investments, our business, results of operations, financial condition and prospects could be harmed. Our strategy may change over time and future acquisitions and investments we complete could be viewed negatively by customers, users,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w:t>
      </w:r>
    </w:p>
    <w:p>
      <w:pPr>
        <w:pStyle w:val="TextBody"/>
        <w:bidi w:val="0"/>
        <w:spacing w:before="240" w:after="283"/>
        <w:jc w:val="both"/>
        <w:rPr>
          <w:rFonts w:ascii="Times New Roman" w:hAnsi="Times New Roman"/>
          <w:sz w:val="20"/>
        </w:rPr>
      </w:pPr>
      <w:r>
        <w:rPr>
          <w:rFonts w:ascii="Times New Roman" w:hAnsi="Times New Roman"/>
          <w:b/>
          <w:i/>
          <w:color w:val="000000"/>
          <w:sz w:val="20"/>
        </w:rPr>
        <w:t>If we cannot maintain our company culture as we grow through acquisitions and investments, our business, financial condition, results of operations and prospects may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our culture is a critical component of our success to date. Any failure to preserve our culture as we grow through acquisitions and investments could negatively affect our ability to retain and recruit personnel, which is critical to our growth, and to effectively focus on and pursue our corporate objectives. As we grow and develop, we may find it difficult to maintain core values and mission alignment. If we are unable to successfully preserve our culture during periods of growth, we may experience reduced morale, lower retention rates of key personnel and decreased engagement. If we are not able to maintain our culture, we could lose the innovation, passion and dedication of our team. A failure to maintain our culture may adversely affect our business, financial condition, results of operations and prospects.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Technology and Intellectual Property</w:t>
      </w:r>
    </w:p>
    <w:p>
      <w:pPr>
        <w:pStyle w:val="TextBody"/>
        <w:bidi w:val="0"/>
        <w:spacing w:before="240" w:after="283"/>
        <w:jc w:val="both"/>
        <w:rPr>
          <w:rFonts w:ascii="Times New Roman" w:hAnsi="Times New Roman"/>
          <w:sz w:val="20"/>
        </w:rPr>
      </w:pPr>
      <w:r>
        <w:rPr>
          <w:rFonts w:ascii="Times New Roman" w:hAnsi="Times New Roman"/>
          <w:b/>
          <w:i/>
          <w:color w:val="000000"/>
          <w:sz w:val="20"/>
        </w:rPr>
        <w:t>Interruptions or performance problems associated with our platform and the technology we use might harm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Our reputation and ability to attract, retain and serve our customers is dependent upon the reliable performance and security of our technology systems and those of third parties, including data center hosting facilities, that we use in our operations. These systems may be subject to damage or interruption, including from earthquakes, adverse weather conditions, other natural disasters, terrorist attacks, power loss, telecommunications failures and cybersecurity breaches and incidents. We believe the risk of us suffering physical- and cyber-attacks is uniquely heightened due to our close affiliation with the faith and flourishing ecosystem</w:t>
      </w:r>
      <w:r>
        <w:rPr>
          <w:rFonts w:ascii="Times New Roman" w:hAnsi="Times New Roman"/>
          <w:color w:val="1D1C1D"/>
          <w:sz w:val="20"/>
        </w:rPr>
        <w:t>.</w:t>
      </w:r>
      <w:r>
        <w:rPr>
          <w:rFonts w:ascii="Times New Roman" w:hAnsi="Times New Roman"/>
          <w:color w:val="000000"/>
          <w:sz w:val="20"/>
        </w:rPr>
        <w:t xml:space="preserve"> Interruptions in these systems, or with the internet in general, could leave our service unavailable or degraded, or otherwise hinder our ability to deliver our platform offerings to our customers. Service interruptions, errors in our software or the unavailability of technology systems used in our operations could diminish the overall attractiveness of our platform offerings to existing and potential customers. Such systems are also vulnerable to cybersecurity breaches and incidents, including cyber-attacks such as computer viruses, denial-of-service attacks, physical or electronic break-ins and similar disruptions. These systems periodically experience directed attacks intended to lead to interruptions and delays in our service and operations as well as loss, misuse or theft of data. Any attempt by hackers to obtain our data (including customer and corporate information) or technology (including digital content assets), disrupt our service or otherwise access our systems, or those of third parties we use, if successful, could harm our business, be expensive to remedy and damage our reputation. We have implemented certain systems and processes to thwart hackers and protect our data and systems. To date, hackers have not had a material impact on our service or systems; however, there can be no assurance that hackers may not be successful in the future. Efforts to prevent hackers from disrupting our service or otherwise accessing our systems are expensive to implement and may limit the functionality of or otherwise negatively impact our service offering and systems. Any significant disruption to our service or access to our systems could result in a loss of customers and adversely affect our business and results of operation.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depend on the ability of users and customers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access to our platform offerings, which would, in turn, negatively impact our business. The adoption of any laws, rules or regulations that adversely affect the use of the internet, including laws, rules, regulations or practices limiting internet neutrality, could decrease the demand for, or the usage of, our platform offerings, increase our cost of doing business and adversely affect our business, financial condition and results of operations. We also rely on other companies to maintain reliable network systems that provide adequate speed, data capacity and security to us and our users. Because our customers use these services for important aspects of their organizations and ministries, any defects, delays or disruptions in service or other performance problems with our platform could hurt our reputation and damage our customers’ operations. Frequent or persistent service interruptions could cause customers to believe that our platform offerings are unreliable and undermine our operations. To the extent that we do not effectively address capacity constraints, upgrade our systems as needed or continually develop our technology and network architecture to accommodate actual and anticipated changes in technology, our business, results of operations, financial condition and prospects could be harmed.</w:t>
      </w:r>
    </w:p>
    <w:p>
      <w:pPr>
        <w:pStyle w:val="TextBody"/>
        <w:bidi w:val="0"/>
        <w:spacing w:before="240" w:after="283"/>
        <w:jc w:val="both"/>
        <w:rPr>
          <w:rFonts w:ascii="Times New Roman" w:hAnsi="Times New Roman"/>
          <w:sz w:val="20"/>
        </w:rPr>
      </w:pPr>
      <w:r>
        <w:rPr>
          <w:rFonts w:ascii="Times New Roman" w:hAnsi="Times New Roman"/>
          <w:b/>
          <w:i/>
          <w:color w:val="000000"/>
          <w:sz w:val="20"/>
        </w:rPr>
        <w:t>We depend on the interoperability of our platform across third-party applications and services that we do not control.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platform is designed to integrate with, and operate alongside, a wide range of third-party applications and services, some of which are critical to the operation of our platform. These include, for example, Amazon Web Services, Bandwidth and Stripe. As our platform expands and evolves, we may have an increasing number of integrations with other third-party applications, products and services. Third-party applications, products and services are constantly evolving, and we may not be able to maintain or modify our platform to ensure its compatibility with our publishers following development changes. In addition, some of our competitors or technology partners may take actions that disrupt the interoperability of our platform with their own products or services, or exert strong business influence on our ability to, and the terms on which we operate. As our platform evolves, we expect the types and levels of competition to increase. Should any of our competitors or technology partners modify their solutions, standards or terms of use in a manner that degrades the functionality or performance of our platform or is otherwise unsatisfactory to us or gives preferential treatment to competitive solutions or services, our business, financial condition, results of operations and prospects could be adversely affected.</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developing new AI platform offerings and incorporating AI-technology into certain of our platform offerings, which may result in operational, financial and reputational harm and other adverse consequences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focused on developing AI-powered offerings on our platform and incorporating AI into existing offerings. The technologies underpinning these features are in the early stages of commercial use and exist in an emerging regulatory environment, which presents regulatory, litigation, ethical, reputational, operational and financial risks. U.S. and international governmental bodies and regulators have proposed, or are in the process of developing, new laws and regulations related to the use of AI and machine learning technologies. For example, the EU Artificial Intelligence Act and the Colorado Artificial Intelligence Act regulate the development and deployment of AI technologies. The way in which regulators and governments ultimately interpret or enforce new and proposed AI regulations may impose obligations related to our development, offering and use of AI technologies and expose us to increased risk of regulatory enforcement and litigation. It may also impact our customers’ and potential customers’ demand for our AI-powered offerings.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expect that many of our generative AI features will include the processing of confidential information and may be subject to laws, policies, legal obligations and codes of conduct related to privacy. There is uncertainty about the extent to which privacy laws apply to AI technologies, and any delay in addressing privacy concerns relating to our AI features may result in liability or regulatory investigations and fines, as well as harm to our sales and reputation. In addition, issues relating to intellectual property rights in AI-generated content have not been fully addressed by the courts, laws or regulations. Accordingly, the use of AI technologies and the implementation of generative AI technologies into our platform offerings may result in exposure to claims related to infringement or other violation of a third party’s intellectual property rights or other third-party rights.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many of our AI features may rely on third-party service providers. As such, any improper processing of confidential information or personal information by these service providers could harm our reputation, business or customers, or expose us to legal liability. Any disruption or failure in our AI systems or infrastructure, or those of our third-party service providers, could result in delays or errors in our operations, which could harm our business and financial results. As with many innovations, AI presents risks and challenges that could affect its adoption, and therefore our business. AI algorithms or training methodologies may be flawed. Datasets may be overbroad, insufficient, or contain biased information. Our generative AI technology features may also generate output that is misleading, insecure, inaccurate, harmful or otherwise flawed, which may harm our reputation, business or customers, or expose us to legal liability. Also, some AI scenarios present ethical issues. If we enable or offer AI solutions that are controversial because of their purported or actual impact on human rights, privacy, employment or other social issues, we may experience reputational harm.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New and emerging AI technologies may require additional investment in the development and maintenance of various models, approaches and processes, as well as development of protections and safeguards for the use of AI technologies, which may be expensive and could impact our financial results if we decide to further expand generative AI into our platform offerings. Likewise, the use of AI involves significant technical complexity and requires specialized expertise. The success of any enhancement or new product depends on many factors, including its relevance to our customers, timely implementation and market acceptance. If our AI-powered platform offerings fail to achieve widespread market adoption or there is a reduction in demand due to a lack of customer acceptance, technology challenges, strengthening competition, weakening economic conditions or cybersecurity or privacy concerns, our business could be harmed and our financial results could be adversely affected.</w:t>
      </w:r>
    </w:p>
    <w:p>
      <w:pPr>
        <w:pStyle w:val="TextBody"/>
        <w:bidi w:val="0"/>
        <w:spacing w:before="240" w:after="283"/>
        <w:jc w:val="both"/>
        <w:rPr>
          <w:rFonts w:ascii="Times New Roman" w:hAnsi="Times New Roman"/>
          <w:sz w:val="20"/>
        </w:rPr>
      </w:pPr>
      <w:r>
        <w:rPr>
          <w:rFonts w:ascii="Times New Roman" w:hAnsi="Times New Roman"/>
          <w:b/>
          <w:i/>
          <w:color w:val="000000"/>
          <w:sz w:val="20"/>
        </w:rPr>
        <w:t>If we or our third-party service providers experience a cybersecurity breach or other incident, including any breach or incident that allows, or is perceived to allow, unauthorized access to our platform or our data, our reputation and brand, business, financial condition and results of operations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our own and our third-party service providers’ platforms,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Because we make extensive use of third-party suppliers and service providers, such as cloud services that support our internal and customer-facing operations, disruptions of or unauthorized access to third-party IT Systems can adversely affect our business, financial condition and results of operations. If we experience difficulties in implementing new or upgraded IT Systems or experience significant failures or other disruptions of our IT Systems, or if we are unable to successfully obtain or procure IT Systems or otherwise modify our IT Systems to respond to changes in our business needs, our ability to run our business could be adversely affected. It is also possible that our competitors could develop better platforms than ours, which could adversely affect obtaining and retaining our customers. Any of these or other related problems could, in turn, adversely affect our business, reputation and brand,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rely on third parties when deploying, servicing or otherwise operating our IT Systems, and in doing so, expose them and therefore us to security risks outside of our direct control. Specifically, certain third parties who create applications that integrate with our platform may receive, store or otherwise process our and our customers’ information, including confidential, sensitive or personal information and other information about individuals, our customers, employees, contractors and business partners (“Sensitive Information”). Our third-party service providers may fail to adequately secure their or our IT Systems or our data. Our ability to monitor our service providers’ security is limited, and, in any event, third parties may be able to circumvent those security measures. Moreover, techniques used to obtain unauthorized access to systems and networks change frequently and may not be known until launched against us or our third-party service providers. These risks also are heightened when service providers work remotely.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remote working arrangements at our company, and many of our third-party providers, increase cybersecurity risks due to the challenges associated with managing remote computing assets and security vulnerabilities that are present in many non-corporate and home networks. The unprecedented scale of remote work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may require additional personnel and resources, which nevertheless cannot be guaranteed to fully safeguard all IT Systems and information upon which we rely.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face numerous and evolving cybersecurity risks, including from diverse threat actors, such as state-sponsored organizations, opportunistic hackers and hacktivists, as well as through diverse attack vectors, such as social engineering/phishing (including on our customers and end customers), malware (including ransomware attacks), malfeasance by insiders, human or technological error, or other techniques used to obtain unauthorized access, disable or degrade services or sabotage systems, and as a result of malicious code embedded in open-source software, or misconfigurations, “bugs” or other vulnerabilities in commercial software that is integrated into our (or our suppliers’ or service providers’) IT Systems. We may be unable to detect, prevent, mitigate, remediate or otherwise respond to cybersecurity breaches or other incidents, or to avoid a material adverse impact to our IT Systems, data or business. Notwithstanding our efforts, we and our third-party service providers have failed to and may in the future fail to detect cybersecurity breaches or other incidents, including potential breaches or incidents that may compromise our IT Systems or data, and may face difficulties or delays in identifying any such breaches or incidents. Such breaches or incidents have resulted in and may in the future result in theft, loss, damage, unavailability of, or unauthorized access to or use, disclosure, modification or other processing of, our data, loss of access to our data or IT Systems or cause other business delays or disruptions.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use of our platform involves the transmission, storage and processing of Sensitive Information. The secure processing, maintenance, transmission and storage of our Sensitive Information is critical to us, and we devote significant resources to protecting this information. We expect our management, use and storage of Sensitive Information to increase, including through the use of AI and our managed IT services. Any actual or perceived cybersecurity breach or other incident, including any unauthorized or inadvertent access to, our IT Systems and any loss or unavailability of, unauthorized access to, or unauthorized use, disclosure, modification or other processing of, our data, could result in regulatory investigations and other proceedings, orders and other obligations, claims, demands, litigation and other proceedings, indemnity obligations, damages, penalties, fines and incurring other costs, violations of applicable laws and regulations and other liabilities, the perception that our platform offerings are insecure and the loss of existing customers or failure to attract and retain new customers, which could have a material and adverse effect on our business, financial condition and results of operations. We also could be required to divert substantial resources to prevent further cybersecurity breaches or other incidents. We have experienced such incidents in the past, and may experience similar incidents in the future. While to date no incidents have had a material impact on our operations or financial results, we cannot guarantee that material incidents will not occur in the future. We cannot be certain that our insurance coverage will be adequate for all liabilities incurred relating to any cybersecurity breach or incident, or that insurance will continue to be available to us on economically reasonable terms, if at all.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do not adequately maintain or protect or effectively enforce our technology or intellectual property rights, our business, financial condition and results of operations could be materially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a combination of trademark, trade secret and copyright protections, and contractual restrictions to protect our intellectual property rights. However, effective intellectual property rights protection is expensive to obtain and maintain, including with respect to the expenses and costs of clearing, prosecuting, registering, maintaining, defending and enforcing our intellectual property rights. Although we may incur substantial costs in protecting our technology and intellectual property, we cannot be certain that we have adequately protected or will be able to adequately protect our technology and intellectual property or that our competitors will not be able to utilize our existing technology or develop similar technology independently. Given the costs and expenses of registering and maintaining, protecting, defending and enforcing our intellectual property rights, we may choose not to register, maintain, protect, defend or enforce certain intellectual property rights that later turn out to be important. Further, we may not timely or successfully register our trademarks or otherwise secure our intellectual property rights, or timely challenge the intellectual property rights of others. Our efforts to protect, maintain or enforce our intellectual property rights may be ineffective and could result in substantial costs and diversion of resources, which could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Despite our efforts to protect our technology and intellectual property rights, it may be possible for third parties to obtain and use our technology and intellectual property without our consent. In addition, unauthorized parties may also independently develop technology and intellectual property similar to ours, or obtain access to our trade secrets, know-how or other technology through various methods, including through cybersecurity attacks, or reverse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engineering, and our methods of protecting this technology may be inadequate. We have in the past been, and may in the future be, subject to others infringing or otherwise violating our intellectual property rights. Competitors have adopted, and may in the future adopt, trademarks similar to ours, thereby harming our ability to build brand identity and possibly leading to end-customer confusion.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could harm our brand and our business. Additionally, litigation or proceedings before state and federal courts of the Unites States, the U.S. Patent and Trademark Office or other governmental authorities and administrative bodies in the United States and abroad may be necessary in the future to protect or enforce our intellectual property rights, defend our business activities and determine the validity and scope of the intellectual property rights of others.</w:t>
      </w:r>
    </w:p>
    <w:p>
      <w:pPr>
        <w:pStyle w:val="TextBody"/>
        <w:bidi w:val="0"/>
        <w:spacing w:before="240" w:after="283"/>
        <w:jc w:val="both"/>
        <w:rPr>
          <w:rFonts w:ascii="Times New Roman" w:hAnsi="Times New Roman"/>
          <w:sz w:val="20"/>
        </w:rPr>
      </w:pPr>
      <w:r>
        <w:rPr>
          <w:rFonts w:ascii="Times New Roman" w:hAnsi="Times New Roman"/>
          <w:b/>
          <w:i/>
          <w:color w:val="000000"/>
          <w:sz w:val="20"/>
        </w:rPr>
        <w:t>Intellectual property infringement assertions or other assertions of violations of intellectual property rights by third parties could result in significant costs and adversely affect our business, financial condition, results of operations and reputation.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operate in an industry with relatively frequent intellectual property disputes and litigation. Other parties have in the past asserted, and may assert in the future, that we have infringed or otherwise violated their intellectual property rights. We could be required to pay substantial damages or cease using technology, trademarks or other intellectual property or taking actions that are deemed infringing or otherwise violating third party intellectual property rights. In addition, despite our efforts to ensure that our employees, consultants, vendors and service providers do not infringe or otherwise violate the intellectual property rights of third parties in their work for us, we have in the past been, and may in the future be, subject to claims that we or our employees, consultants, vendors or service providers have inadvertently or otherwise infringed or otherwise violated a third party’s intellectual property rights. Further, we cannot predict whether claims of infringement or other violations of a third-party’s intellectual property rights would substantially adversely affect our business, financial condition and results of operations. The defense of these claims, whether they are with or without merit or are determined in our favor, may result in costly litigation and diversion of technical and management personnel. In addition, we may be unable to meet our obligations to customers under our customer contracts or to compete effectively, and our revenue and results of operations could be adversely impacted. We may need to license intellectual property rights or technology from third parties which may require us to pay royalties or make one-time payments. We might also be obligated to indemnify our customers or other companies in connection with any such litigation and to obtain licenses, modify our technology or refund fees, which could harm our financial results. Further, an adverse outcome of any such claim may harm our brand and reputation, and require us to pay damages, potentially including treble damages and attorneys’ fees if we are found to have willfully infringed a party’s patent, trademark or copyright rights, cease use of intellectual property alleged to infringe or otherwise violate the intellectual property of others, or otherwise cease making, licensing or using technology that is alleged to infringe or otherwise violate the intellectual property rights of others, expend additional development resources to redesign our offerings, or enter into potentially unfavorable royalty or license agreements in order to obtain the necessary rights under such third party’s intellectual property rights. Royalty or licensing agreements with respect to intellectual property rights of third parties, if required, may not be available on terms favorable to us, or available at all. Even if these matters do not result in litigation or are resolved in our favor or without significant cash settlements, the time and resources necessary to resolve them could adversely affect our business, reputation, financial condition, results of operations and reputation.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involves hosting, distributing and training AI models on large quantities of third-party content.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involves hosting, distributing and training AI models on content supplied by others, including licensed and public datasets. Some of that content may violate a third party’s rights or a law, rule or regulation, and we could face lawsuits, liability or negative publicity for hosting or distributing such content, such as claims for fraud, defamation, libel, invasion of privacy, negligence, copyright or trademark infringement or other theories based on the nature of such information or content. Such lawsuits, liability, negative publicity or claims, with or without merit, could be costly to defend or divert the attention of our management or other personnel.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we take steps to mitigate such risks, we cannot guarantee that those steps will be effective or sufficient to protect us from liability or to minimize our costs. Preventing or responding to these actions may require us to make substantial investments in people and technology and these investments may not be successful, adversely affecting our business, financial condition and results of operations. For example, we take steps to avail ourselves of the safe harbor for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copyright infringement under the Digital Millennium Copyright Act of 1998 (“DMCA”). The DMCA is intended, among other things, to reduce the liability of online service providers with respect to user-uploaded content. Under the DMCA there are safe harbors for copyright infringement available for online service providers that provide specific services, if they take certain affirmative steps as required under the DMCA. The applications and interpretations of the statutory requirements of the DMCA are evolving and may be modified by court rulings and industry practice. We therefore cannot guarantee that we will meet the safe harbor requirements of the DMCA, despite our efforts to do so. If we fail to comply with such statutory requirements or if the interpretations of the DMCA change, we may be subject to liability for copyright infringement resulting from our hosting and distribution of user-generated content.</w:t>
      </w:r>
    </w:p>
    <w:p>
      <w:pPr>
        <w:pStyle w:val="TextBody"/>
        <w:bidi w:val="0"/>
        <w:spacing w:before="240" w:after="283"/>
        <w:jc w:val="both"/>
        <w:rPr>
          <w:rFonts w:ascii="Times New Roman" w:hAnsi="Times New Roman"/>
          <w:sz w:val="20"/>
        </w:rPr>
      </w:pPr>
      <w:r>
        <w:rPr>
          <w:rFonts w:ascii="Times New Roman" w:hAnsi="Times New Roman"/>
          <w:b/>
          <w:i/>
          <w:color w:val="000000"/>
          <w:sz w:val="20"/>
        </w:rPr>
        <w:t>Our platform offerings contain third-party open-source software components, and failure to comply with the terms of the underlying open source software licenses could adversely affect our business, results of operations, financial condition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platform contains software modules licensed to us by third-party authors under “open source” licenses. In addition to our proprietary algorithms, we use open source large language models as the base for our fine-tuned models.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Some open source licenses contain requirements that may, depending on how the licensed software is used, modified or distributed, require that licensees make available source code for modifications or derivative works created based upon the licensed open source software, authorize further modification and redistribution of that source code, make that source code available at little or no cost, or grant other licenses to the licensee’s intellectual property. If we combine our proprietary software with open source software in a certain manner, we could, under certain open source licenses, be required to release the source code of our proprietary software under the terms of an open source software license. This could enable our competitors to create similar offerings with lower development effort and time and ultimately could result in a loss of our competitive advantages. Alternatively, to avoid the release of the affected portions of our source code, we could be required to purchase additional licenses, expend substantial time and resources to re-engineer some or all of our software or cease use or distribution of some or all of our software until we can adequately address the concerns.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we require vendors of open source software to be separately categorized and reviewed as part of our vendor management process, compliance with that policy may be inconsistent. We have not formalized the policies or procedures to monitor our use of open source software. The terms of many open source licenses have not been interpreted by U.S. or foreign courts, and there is a risk that these licenses could be construed in a way that could impose unanticipated conditions or restrictions on our ability to provide or distribute our platform offerings. From time to time, there have been claims against companies that incorporate open source software into their offerings alleging that the use of such open source software infringes upon the intellectual property rights of a third party. As a result, we could be subject to similar lawsuits by third parties with respect to our use of software that we believe to be open source software. If we are held to have breached or failed to fully comply with all the terms and conditions of an open source software license, we could face infringement or other liability, or be required to seek licenses from third parties to continue providing our platform on terms that are costly or not economically feasible, to re-engineer our platform, to discontinue or delay the provision of our platform if re-engineering could not be accomplished on a timely basis, or to make our proprietary code generally available in source code form, any of which could adversely affect our business, financial condition or results of operations.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Regulation and Taxation</w:t>
      </w:r>
    </w:p>
    <w:p>
      <w:pPr>
        <w:pStyle w:val="TextBody"/>
        <w:bidi w:val="0"/>
        <w:spacing w:before="240" w:after="283"/>
        <w:jc w:val="both"/>
        <w:rPr>
          <w:rFonts w:ascii="Times New Roman" w:hAnsi="Times New Roman"/>
          <w:sz w:val="20"/>
        </w:rPr>
      </w:pPr>
      <w:r>
        <w:rPr>
          <w:rFonts w:ascii="Times New Roman" w:hAnsi="Times New Roman"/>
          <w:b/>
          <w:i/>
          <w:color w:val="000000"/>
          <w:sz w:val="20"/>
        </w:rPr>
        <w:t>Our business is subject to complex and evolving laws, regulations and industry standards, and unfavorable interpretations of, or changes in, or our actual and perceived failure to comply with these laws, regulations and industry standards could substantially harm our business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a number of laws and regulations that apply generally to businesses, including laws and regulations governing the internet and the marketing, sale and delivery of services over the internet. These laws and regulations, which continue to evolve, cover, among other things, taxation, tariffs, privacy, cybersecurity, pricing, content,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copyrights, distribution, mobile and telecommunications, advertising practices, electronic contracts, sales procedures, automatic subscription renewals, credit card processing procedures, consumer and business financial products, insurance products, consumer protection, payroll compliance, the design and operation of websites and the characteristics and quality of products that are offered online. We cannot guarantee that we have been or will in the future be fully compliant with such laws and regulations in every jurisdiction, as it is not entirely clear in every jurisdiction how existing laws and regulations governing such areas apply or will be enforced. Moreover, as the regulatory landscape continues to evolve, increasing regulation and enforcement efforts by federal, state and foreign authorities, and the prospects for private litigation claims, become more likely. In addition, the adoption of new laws or regulations, or the imposition of other legal requirements, that adversely affect our ability to market or sell our platform could harm our ability to offer, or negatively affect customer demand for, our platform, which could impact our revenue, impair our ability to expand our platform and service offerings, and make us more vulnerable to competition. Future regulations, or changes in laws and regulations or their existing interpretations or applications, could also require us to change our business practices and raise compliance costs or other costs of doing business. Additionally, various federal, state and foreign labor laws govern our relationships with our employees and affect operating costs. These laws include employee classifications as exempt or non-exempt, minimum wage requirements, unemployment tax rates, workers’ compensation rates, overtime, family leave, workplace health and safety standards, payroll taxes, citizenship requirements and other laws and regulations. The number and type of laws applicable to us and our workforce will grow as our remote workforce increases. Significant additional laws or regulations, or our failure to comply with any laws and regulations that now, or could in the future, apply to our business could materially adversely affect our business, financial condition, results of operations and prospects. In addition, changes in regulations could negatively impact the business environment for the industry we operate in. Laws and regulations are rapidly evolving and may change significantly in the future.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or are alleged to fail to comply with privacy or cybersecurity laws, regulations and other obligations, our business, financial condition, results of operations and reputation could be materially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receive, collect, store, use and otherwise process personal information and other confidential or proprietary data, for numerous purposes, including legal, marketing and other business-related purposes. Depending on various factors, including the nature of the information and the relationship with our users, we may act as either a data controller or business, or a data processor or service provider, each of which carries distinct legal and regulatory commitments under applicable privacy laws. As a data controller or business, we are directly responsible for determining the purposes and means of processing personal information, which subjects us to stringent requirements, including regarding privacy, transparency and accountability. Conversely, when we act as a data processor or service provider on behalf of our clients, we are obligated to process personal information in accordance with their instructions and applicable contractual terms and privacy laws.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laws, regulations and other obligations that govern privacy and cybersecurity, including with respect to marketing, consumer protection and our collection, storage, sharing, use, disclosure, protection, sale and other processing of personal information. The regulatory framework for privacy and cybersecurity may be subject to new or differing interpretations, inconsistent, or conflicting with, other obligations, and is expected to remain rapidly evolving and to increase our compliance costs and liability exposure.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these laws, regulations and other obligations impose differing obligations depending on whether we are acting as a data controller or business, or a data processor or service provider. For example, as a data controller or business, we are required to meet obligations around obtaining data subject consents, enabling individuals to exercise their rights under applicable laws, and ensuring data accuracy. As a data processor or service provider, our primary obligations focus on implementing appropriate security measures, following the instructions of the data controller or business and assisting the controller or business in meeting its own compliance requirements. These dual roles increase the complexity of our compliance efforts and the potential for liability in the event of a breach or regulatory violation.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privacy and cybersecurity laws include rules and regulations promulgated under the authority of the Federal Trade Commission, the Electronic Communications Privacy Act, the Computer Fraud and Abuse Act, the California Consumer Privacy Act of 2018 (“CCPA”) and other state and federal laws relating to privacy and cybersecurity. The CCPA requires covered companies to make certain disclosures to California consumers about their data collection, use and sharing practices, allows consumers to opt out of the sale of personal information to third parties, and provides a private right of action and statutory damages for data breaches. The California Privacy Rights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 of 2020 (“CPRA”), which took effect on January 1, 2023, amended the CCPA by imposing additional requirements, including granting California residents the ability to limit the use of their Sensitive Information, imposing penalties for violations concerning California residents under the age of 16, and establishing the California Privacy Protection Agency to implement and enforce the law. While the CPRA regulations introduced more stringent requirements, many of these regulations lack significant enforcement history, creating uncertainty and compliance challenges.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enactment of the CCPA has spurred a wave of similar legislative developments in other states, resulting in a complex patchwork of overlapping but sometimes differing privacy laws. For example, Virginia, Colorado, Utah and Connecticut have enacted general privacy laws that became effective in 2023; Florida, Montana, Oregon and Texas have enacted privacy laws that became effective in 2024; Delaware, Iowa, Maryland, Minnesota, Nebraska, New Hampshire, New Jersey and Tennessee have enacted privacy laws that became effective in 2025; Indiana, Kentucky and Rhode Island have enacted privacy laws that have become effective in 2026; and Alabama and Oklahoma have enacted privacy laws that become effective in 2027. Each of these laws imposes unique compliance requirements and creates additional challenges for maintaining consistency across jurisdictions. At the federal level, there is ongoing discussion about the possibility of comprehensive privacy legislation. However, no uniform standard has been enacted, and state-level activity continues to shape the regulatory landscape. The evolving nature of privacy and cybersecurity laws increases our compliance costs and potential liability as we navigate variations in requirements across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Department of Justice recently issued a final rule that took effect in April 2025 and places limitations, and in some cases prohibitions, on certain transfers of sensitive personal data to business partners located in China or with other specified links to China (and other designated countries). These rules also may broadly require us to extract promises from business partners that they will not transfer data we share with them onward to parties linked to countries of concern.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a variety of industry standards, contractual and other obligations, such as self-regulatory guidelines, that govern our privacy and cybersecurity practices. These obligations require us to, for example, implement opt-out mechanisms, provide detailed disclosures and adhere to principles such as transparency and accountability. Failure to comply or to meet industry expectations with respect to these obligations could result in regulatory investigations, negative publicity, private litigation or other proceedings, which could adversely impact our reputation, increase costs and damage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we expand our operations and data-related solutions, the scrutiny on our data collection, use, sharing and processing practices may increase. Future laws and regulations could impose additional restrictions on data processing, including requirements for explicit consent, limitations on data retention or increased data subject rights. These changes may require us to redesign our platform, increase compliance costs or limit our ability to collect and use data, potentially reducing demand for our offerings. Additionally, as we continue to expand and develop new products and services, we may face challenges in uniformly applying compliance standards, particularly as requirements evolve or as certain legacy systems and processes are integrated into our broader platform. Any failure to fully implement or apply these standards across our offerings could result in increased compliance costs, reputational harm, loss of customer trust, regulatory scrutiny or legal liability, which could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have implemented measures designed to address privacy and cybersecurity laws, regulations and other obligations, we may, or may be perceived to have, not done so consistently across all our products and services. For instance, while we have completed a SOC 2 Type II audit, the scope of the system for this certification does not incorporate all of our products and services. This limitation may expose us to risks if customers or regulators expect all our offerings to meet the standards set forth in the certification or if gaps in compliance across different products create vulnerabilities.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Compliance with privacy and cybersecurity laws, regulations and other obligations is, and is likely to remain, uncertain for the foreseeable future. We cannot guarantee that we have been or will in the future be fully compliant with such laws, regulations and other obligations in every jurisdiction. Complying with these laws, regulations or other obligations may require us to modify our platform offerings, incur substantial compliance, technical and operational costs, modify our practices and restrict our business operations. Any failure or perceived failure to comply with these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laws, regulations and other obligations relating to privacy or cybersecurity, including our own privacy policies, may result in regulatory investigations or enforcement actions, litigation (including individual or class action lawsuits), claims or public statements against us by consumer advocacy groups or others, and could result in significant monetary liability, fines, penalties, loss of customers, reputational harm and loss of goodwill and trust, which could have a material and adverse effect on our business, financial condition, results of operations and reputation.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Failure to comply with anti-bribery and anti-corruption laws and anti-money laundering laws, export controls, trade and economic sanctions and similar laws, could subject us to penalties and other adverse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comply with anti-bribery, anti-corruption, anti-money laundering, export controls, trade and economic sanctions, and similar laws could subject us to penalties and other adverse consequences. We are subject to the U.S. Foreign Corrupt Practices Act of 1977, as amended (the “FCPA”), the U.S. domestic bribery statute contained in 18 U.S.C. § 201, the U.S. Travel Act, the USA PATRIOT Act and other federal, state and local laws that address anti-bribery, anti-corruption and anti-money laundering. If we expand internationally, we may become subject to the anti-corruption, anti-bribery and anti-money laundering laws of other countries.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pursue international expansion, our risks under these laws may increase as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These laws also require that we keep accurate books and records and maintain internal controls and compliance procedures designed to prevent any such actions. While we will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some cases, our solutions may be subject to U.S. and foreign export controls, trade and economic sanctions and import laws and regulations. Governmental regulation related to the import or export of our solutions or our failure to obtain any required import or export authorization for our solutions, when applicable, could harm future international sales and adversely affect our revenue. For example, U.S. export control laws and trade and economic sanctions prohibit or restrict the shipment of certain products and services to countries, governments, and persons targeted by U.S. sanctions without government authorization. In addition, various foreign governments may also impose controls, export license requirements, and/or restrictions that could be applicable to our solutions. If we fail to comply with export and import regulations and such trade and economic sanctions, penalties could be imposed, including fines and/or denial of certain export privileges. Compliance with applicable regulatory requirements regarding the export of our solutions may create delays in the introduction of our solutions in international markets or, in some cases, prevent the export of our solutions to some countries altogether. Moreover, any new export or import restrictions, new legislation or shifting approaches in the enforcement or scope of existing regulations, or in the countries, persons or products targeted by such regulations, could result in decreased use of our solutions by, or in our decreased ability to export our solutions to, existing or potential customers with international operations. Any decreased use of our platform offerings or limitation on our ability to export or sell our offerings could adversely affect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allegations or violation of the FCPA or other applicable anti-bribery or anti-corruption laws, anti-money laundering laws or export controls and trade and economic sanctions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results of operations and prospects. Responding to any investigation or action could result in significant diversion of management’s attention and resources and significant defense costs and other professional fees. In addition, the U.S. government may seek to hold us liable for successor liability for FCPA, export control or trade and economic sanctions violations committed by companies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which we invest or that we acquire. As a general matter, investigations, enforcement actions and sanctions could harm our reputation,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identified material weaknesses in our internal control over financial reporting in connection with the preparation and audit of our financial statements for the fiscal years ended January 31, 2025 and 2024, and these material weaknesses continued to exist as of April 30, 2026.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 establish and maintain effective internal control over financial reporting, our ability to accurately and timely report our financial results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becoming a public company, we will be required to furnish a report by management on the effectiveness of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To date, we have had limited financial and accounting personnel to fully execute our accounting processes and address our internal control over financial reporting. In connection with the preparation and audit of our financial statements for the fiscal years ended January 31, 2025 and 2024, we identified material weaknesses in our internal control over financial reporting that could adversely affect our ability to accurately and timely report our financial results, and these material weaknesses continued to exist as of April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Specifically, we have identified deficiencies in our information technology general control (“ITGC”) environment, including deficiencies related to logical access and segregation of duties. These deficiencies exist within (1) certain enterprise resource planning systems (“ERPs”), (2) third-party financial systems that are integrated with these ERPs and are used in our financial reporting processes and (3) internally developed systems. Improper logical access management in these systems may increase the risk of unauthorized access to critical financial data, while inadequate segregation of duties could result in inappropriate or undetected changes to financial systems and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identified insufficient documentation supporting the performance and effectiveness of certain control activities related to the financial close and reporting process. This includes the lack of timely execution of reviews and inadequate evidence of review procedures, which diminishes our ability to demonstrate that controls operated effectively throughout the reporting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in the process of implementing remediation plans to address these material weaknesses, including enhancements to our ITGC environment, improvements to segregation of duties and strengthening documentation and execution of our financial reporting controls. The material weaknesses will be considered remediated when our management designs and implements effective controls that operate for a sufficient period of time and management has concluded, through testing, that these controls are effective. Our management will monitor the effectiveness of our remediation plans and make changes management determines to be appropriate. We cannot assure you that the measures we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controls over financial reporting. Accordingly, there could continue to be a reasonable possibility that these deficiencies or others, individually and in the aggregate, could result in errors in our financial statements that may not be prevented or detected on a timely basis, potentially leading to a material misstatement, resulting in a restatement of financial statements, causing us to fail to timely meet our reporting obligations or causing investors to lose confidence in our reported financial information, which could cause a decline in the trading price of our Class A common stock and we could be subject to sanctions or investigations by the SEC or other regulatory authorities including equivalent foreign authorities.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When we cease to be an “emerging growth company” as defined under the JOBS Act, our auditors will be required to express an opinion on the effectiveness of our internal controls, unless we are then eligible for any other exemption from such requirement. At such time, our independent registered public accounting firm may issue a report that is adverse, which would occur in the event we have a material weakness in our internal control over financial reporting. If new material weaknesses are identified in our internal control over financial reporting, our ability to record, process and report financial information accurately, and to prepare financial statements within the time periods specified by the rules and forms of the SEC, could be adversely affected which, in turn, may adversely affect our reputation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business and the trading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bidi w:val="0"/>
        <w:spacing w:before="240" w:after="283"/>
        <w:jc w:val="both"/>
        <w:rPr>
          <w:rFonts w:ascii="Times New Roman" w:hAnsi="Times New Roman"/>
          <w:sz w:val="20"/>
        </w:rPr>
      </w:pPr>
      <w:r>
        <w:rPr>
          <w:rFonts w:ascii="Times New Roman" w:hAnsi="Times New Roman"/>
          <w:b/>
          <w:i/>
          <w:color w:val="000000"/>
          <w:sz w:val="20"/>
        </w:rPr>
        <w:t>We engage in the solicitation of charitable contributions on behalf of nonprofit organizations from time to time, and as a result we are subject to regulatory, reputational and financial risks.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jurisdictions, both at the federal and state level, impose strict regulations on entities that engage in the solicitation of charitable funds on behalf of nonprofit organizations, including strict state-specific registration requirements. Any failure to maintain compliance with these laws and regulations could result in fines, enforcement actions or reputational damage. Organizations like ours that solicit and receive charitable contributions may be exploited and expose us to heightened money laundering risks and subject us to liability under applicable anti-money laundering laws. While we maintain stringent and comprehensive efforts to screen and monitor charitable contributions, there can be no assurance that these controls will be effective. Our success depends on the trust we maintain with our customers, and any failure to comply with the foregoing regulations could severely harm our brand and reputation and materially adversely affect our business.</w:t>
      </w:r>
    </w:p>
    <w:p>
      <w:pPr>
        <w:pStyle w:val="TextBody"/>
        <w:bidi w:val="0"/>
        <w:spacing w:before="240" w:after="283"/>
        <w:jc w:val="both"/>
        <w:rPr>
          <w:rFonts w:ascii="Times New Roman" w:hAnsi="Times New Roman"/>
          <w:sz w:val="20"/>
        </w:rPr>
      </w:pPr>
      <w:r>
        <w:rPr>
          <w:rFonts w:ascii="Times New Roman" w:hAnsi="Times New Roman"/>
          <w:b/>
          <w:i/>
          <w:color w:val="000000"/>
          <w:sz w:val="20"/>
        </w:rPr>
        <w:t>Our estimates or judgments relating to our critical accounting policies may be based on assumptions that change or prove to be incorrect, which could cause our results of operations to fall below expectations of securities analysts and investors, resulting in a decline in the trading price of our Class A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described in the section titled “Management’s Discussion and Analysis of Financial Condition and Results of Operations.” The results of these estimates form the basis for making judgments about the recognition and measurement of certain assets and liabilities and revenue and expenses that is not readily apparent from other sources. Our accounting policies that involve judgment and use of estimates include the fair value of assets acquired and liabilities assumed in acquisitions and investments. If our assumptions change or if actual circumstances differ from those in our assumptions, our results of operations could be adversely affected, which could cause our results of operations to fall below the expectations of securities analysts and investors, resulting in a decline in the trading price of our Class A common stock.</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use our net operating losses and certain other tax attributes to offset future taxable income may be subject to certain limitations.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January 31, 2026, we had approximately $22.3 million and $10.6 million of federal and state net operating loss carryforwards (“NOLs”), respectively. All of these NOLs carryforward indefinitely. The amount of federal NOLs arising in taxable years beginning after December 31, 2017, that we are permitted to deduct in a taxable year is limited to 80% of our federal taxable income in each such year to which the NOLs are applied. Similar limitations may apply to our state NOLs. Utilization of our NOLs and certain other tax attributes depends on many factors, including us attaining profitability, which cannot be assured. Due to our cumulative losses, we have recorded a full valuation allowance against our NOLs as of January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ability to utilize our federal NOLs and certain other tax attributes, may be limited under Sections 382 and 383 of the Internal Revenue Code of 1986, as amended (the “Code”). These limitations apply if we experience an “ownership change,” which generally occurs if one or more stockholders who own at least 5% of our stock increase their ownership (by value) by more than 50 percentage points over their lowest ownership percentage within a rolling three-year period. Similar rules may apply under state and local tax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have undergone ownership changes, or if we undergo an ownership change in the future, our ability to use our pre-change NOLs and other pre-change tax attributes (such as research and development tax credits) to offset our post-change income or taxes may be limited. Similar provisions of state tax law may also apply to limit the use of our state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NOLs. Future changes in our stock ownership, some of which may be outside of our control, may result in an ownership change under these rules.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a risk that due to changes in tax law, regulatory changes or other unforeseen reasons, our existing NOLs or business tax credits could expire or otherwise become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w:t>
      </w:r>
    </w:p>
    <w:p>
      <w:pPr>
        <w:pStyle w:val="TextBody"/>
        <w:bidi w:val="0"/>
        <w:spacing w:before="240" w:after="283"/>
        <w:jc w:val="both"/>
        <w:rPr>
          <w:rFonts w:ascii="Times New Roman" w:hAnsi="Times New Roman"/>
          <w:sz w:val="20"/>
        </w:rPr>
      </w:pPr>
      <w:r>
        <w:rPr>
          <w:rFonts w:ascii="Times New Roman" w:hAnsi="Times New Roman"/>
          <w:b/>
          <w:i/>
          <w:color w:val="000000"/>
          <w:sz w:val="20"/>
        </w:rPr>
        <w:t>Our results of operations may be harmed if we are required to collect or pay sales or other taxes in jurisdictions where we have not historically done so.</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application of federal, state, local and foreign tax laws to services provided electronically is evolving. In particular, the applicability of sales and use taxes and other taxes, such as gross receipts, excise, digital service and telecom taxes, to our platform in various jurisdictions is unclear, and these rules and regulations are subject to varying interpretations that may change over time. We collect and remit sales tax and other taxes in the United States. It is possible, however, that we could face sales tax or other tax audits and that our liability for these taxes could exceed our estimates as tax authorities in the United States or other jurisdictions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or other taxes in jurisdictions where we have not historically done so and do not accrue for such taxes could result in substantial tax liabilities for past sales, discourage organizations from using our platform or otherwise harm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one or more state or other tax authorities could seek to impose additional sales, use, telecommunications tax or other tax collection and record-keeping obligations on us or may determine that such taxes should have, but have not been, paid by us. Liability for past taxes may also include substantial interest and penalty charges. Any successful action by state or other authorities to compel us to collect and remit sales tax, use tax, telecommunication tax or other taxes, either retroactively, prospectively or both, may harm our business, financial condition and results of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Changes in tax laws and regulations could adversely affect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operate in multiple jurisdictions and are subject to tax laws and regulations of the U.S. federal, state and local and foreign governments. New income, sales, use, digital service or other tax laws, statutes, rules, regulations or ordinances could be enacted at any time. Those enactments could harm our domestic and international business operations and our business, financial condition and results of operations. Further, existing tax laws, statutes, rules, regulations or ordinances could be interpreted, changed, modified or applied adversely to us. The introduction of new, or changes to existing, tax laws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prospective customers may elect not to purchase our offerings in the future. Additionally, new, changed, modified or newly interpreted or applied tax laws could increase our customers and our compliance, operating and other costs, as well as the costs of our offerings. Further, these events could decrease the capital we have available to operate our business. Any or all of these events may harm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expand the scale of our international business activities, any changes in the U.S. or foreign taxation of such activities may increase our worldwide effective tax rate and harm our business, financial condition and results of operations.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An increase in our tax liabilities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may harm us and our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an emerging growth company and a smaller reporting company, and any decision on our part to comply only with certain reduced reporting and disclosure requirements applicable to emerging growth companies and smaller reporting companies could make our Class A common stock less attractive to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exemption from the requirement to have our registered independent public accounting firm attest to management’s assessment of our internal control over financial reporting;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exemption from compliance with the requirement of the PCAOB regarding the communication of critical audit matters in the auditor’s report on the financial statements;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reduced disclosure about our executive compensation arrangements;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exemption from the requirement to hold non-binding advisory votes on executive compensation or golden parachute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continue to be an emerging growth company for up to five years until as late as January 31, 2031. Our status as an emerging growth company will end as soon as any of the following takes place: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last day of the fiscal year in which we have at least $1.235 billion in annual revenue;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date we qualify as a “large accelerated filer,” with at least $700.0 million of equity securities held by non-affiliates;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date on which we have issued, in any three-year period, more than $1.0 billion in non-convertible debt securities;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January 31, 2031, which is the last day of the fiscal year ending after the fifth anniversary of the completion of the IPO.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pStyle w:val="TextBody"/>
        <w:bidi w:val="0"/>
        <w:spacing w:before="240" w:after="283"/>
        <w:jc w:val="both"/>
        <w:rPr>
          <w:rFonts w:ascii="Times New Roman" w:hAnsi="Times New Roman"/>
          <w:sz w:val="20"/>
        </w:rPr>
      </w:pPr>
      <w:r>
        <w:rPr>
          <w:rFonts w:ascii="Times New Roman" w:hAnsi="Times New Roman"/>
          <w:color w:val="000000"/>
          <w:sz w:val="20"/>
        </w:rPr>
        <w:t>We are also a “smaller reporting company” because our annual revenue was less than $100 million</w:t>
      </w:r>
      <w:r>
        <w:rPr>
          <w:rFonts w:ascii="Times New Roman" w:hAnsi="Times New Roman"/>
          <w:color w:val="0000FF"/>
          <w:sz w:val="20"/>
        </w:rPr>
        <w:t xml:space="preserve"> </w:t>
      </w:r>
      <w:r>
        <w:rPr>
          <w:rFonts w:ascii="Times New Roman" w:hAnsi="Times New Roman"/>
          <w:color w:val="000000"/>
          <w:sz w:val="20"/>
        </w:rPr>
        <w:t xml:space="preserve">during the year ended January 31, 2026. We may continue to be a smaller reporting company in any given fiscal year if either (1) the market value of our common stock held by non-affiliates is less than $250 million as of the last business day of the second fiscal quarter of such fiscal year or (2) our annual revenue is less than $100 million during the most recently completed fiscal year and the market value of our common stock held by non-affiliates is less than $700 million as of the last business day of the second fiscal quarter of such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10-K and, similar to emerging growth companies, smaller reporting companies have reduced disclosure obligations regarding executive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if investors will find our Class A common stock less attractive if we choose to rely on any of the exemptions afforded emerging growth companies and smaller reporting companies. If some investors find our Class A common stock less attractive because we rely on any of these exemptions, there may be a less active trading market for our Class A common stock and the trading price of our Class A common stock may be more volatile and may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continue to incur increased costs and demands upon management as a public company, which could adversely affect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newly public company, we are incurring substantial legal, accounting and other expenses that we did not incur as a private company, and these expenses may increase even more after we are no longer an “emerging growth company.” For example, we are subject to the reporting requirements of the Exchange Act, the Sarbanes-Oxley Act, the Dodd-Frank Wall Street Reform and Consumer Protection Act of 2010, the rules and regulations of the SEC and the listing standards of the Nasdaq Stock Market. Our management and other personnel will need to continue to devote a substantial amount of time to compliance with these requirements and we expect these rules and regulations to continue to substantially increase our legal and financial compliance costs. For example, we expect complying with these rules and regulations to make it more expensive for us to maintain director and officer liability insurance, and, in the future, we may be required to accept reduced policy limits and coverage or incur substantially higher costs to maintain the same or similar coverage. As a result, it may be more difficult for us to attract and retain qualified individuals to serve on our board of directors, particularly to serve on our audit committee and compensation committee, or as our executive officers. In addition, we have expended, and anticipate that we will continue to expend, significant resources in order to maintain and improve the effectiveness of our disclosure controls and procedures and internal control over financial reporting. In that regard, although we have already hired additional employees to assist us in complying with these requirements, we may need to hire additional accounting and financial staff with appropriate public company experience and technical accounting knowledge. In addition, as a public company, we may be subject to stockholder activism, which can lead to substantial costs, distract management and impact the manner in which we operate our business in ways we cannot currently anticipate. As a result of disclosure of information in this prospectus and in our Exchange Act filings, our business and financial condition are more visible, which may result in threatened or actual litigation, including by competitors and other third parties. If such claims are successful, our business and results of operations could be adversely affected, and even if the claims do not result in litigation or are resolved in our favor, these claims, and the time and resources necessary to resolve them, could divert the resources of our management and adversely affect our business and results of operations. These costs and demands upon management could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face challenges in closing our books and preparing timely and accurate financial reports, which could adversely impact our business, investor confidence and our ability to meet SEC reporting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experienced significant growth in recent years through both organic expansion and a series of strategic acquisitions. As we continue to scale our operations, integrate multiple acquired businesses and expand our geographic and product footprint, we face increasing complexity in our financial reporting environment. Our recent acquisitions require integration of financial systems, controls, accounting policies and personnel. These rapid developments place significant demands on our finance, accounting and internal controls functions. Given the pace of our growth and acquisitions, there is a risk that we may not be able to timely or accurately close our books, integrate acquired entities or produce consolidated financial statements in accordance with U.S. GAAP or SEC requirements. This may result in delayed filings with the SEC, the restatement of previously issued financial statements or deficiencies in our internal control over financial reporting. Any of these outcomes could harm our reputation, trigger penalties or enforcement actions from the SEC, delay or impair our ability to access capital markets and reduce investor confidence in our company and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Ownership of Our Class A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co-founder, president and chief executive officer, Mr. Beck, and his affiliates control a majority of the voting power of our outstanding capital stock and this limits other stockholders' ability to influence or direct the outcome of key corporate actions and transactions, including a change in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publicly traded Class A common stock entitles each holder to one vote per share. Our co-founder, president and chief executive officer, Mr. Beck, and his affiliates hold shares of Class B common stock that are entitled to ten votes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the date of this prospectus, the shares beneficially owned by Mr. Beck represented a majority of the aggregate voting power of our outstanding common stock. As a result, for the foreseeable future, Mr. Beck will be able to significantly influence or control all matters requiring approval by our stockholders, including the election of directors, amendments of our organizational documents and any merger, consolidation, sale of all or substantially all of our assets or other major transaction requiring stockholder approval. Mr. Beck may have interests that differ from yours and may vote in a way with which you disagree and which may be adverse to your interest. The concentration of influence will limit or preclude your ability to influence corporate matters for the foreseeable future and could have the effect of delaying, preventing or deterring a change in control of our company, could deprive you and other holders of Class A common stock of an opportunity to receive a premium for your Class A common stock as part of a sale of our company and could negatively affect the trading price of our Class A common stock. In addition, this may prevent or discourage unsolicited acquisition proposals or offers for our capital stock that you may feel are in your best interest as one of our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future transfers by holders of our Class B common stock will generally result in those shares converting into our Class A common stock, subject to limited exceptions. The conversion of our Class B common stock to our Class A common stock will have the effect, over time, of increasing the relative voting power of those holders of our Class B common stock who retain their shares in the long term. As a result, it is possible that one or more holders of our Class B common stock, including Mr. Beck, could gain additional control as other holders of our Class B common stock sell or otherwise convert their shares into our Class A common stock. In addition, the conversion of our Class B common stock into our Class A common stock will dilute holders of our Class A common stock, including holders of shares purchased in our IPO, in terms of their voting power within our Class A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Although we do not expect to rely on the “controlled company” exemption under the rules and regulations of the Nasdaq Stock Market, we have the right to use such exemption and therefore could in the future avail ourselves of certain reduced corporate governance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Beck holds a majority of the aggregate voting power of our outstanding common stock and we may be considered to be a “controlled company” as that term is set forth in the rules and regulations of the Nasdaq Stock Market. Under these rules, a company of which more than 50% of the voting power is held by a person or group of persons acting together is a “controlled company” and may elect not to comply with certain rules and regulations of the Nasdaq Stock Market regarding corporate governance, including:</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requirement that a majority of its board of directors consist of independent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requirement that its director nominees be selected or recommended for the board’s selection by a majority of the board’s independent directors in a vote in which only independent directors participate or by a nominating committee comprised solely of independent directors, in either case, with board resolutions or a written charter, as applicable, addressing the nominations process and related matters as required under the federal securities 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requirement that its compensation committee be composed entirely of independent directors with a written charter addressing the committee’s purpose and responsibilities.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requirements would not apply to us if, in the future, we choose to avail ourselves of the “controlled company” exemption. Although we qualify as a “controlled company,” we do not currently expect to rely on these exemptions and intend to fully comply with all corporate governance requirements under the rules and regulations of the Nasdaq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Market. However, if we were to rely on some or all of these exemptions in the future, you would not have the same protections afforded to stockholders of other companies that are subject to all of the corporate governance requirements of the Nasdaq Stock Market.</w:t>
      </w:r>
    </w:p>
    <w:p>
      <w:pPr>
        <w:pStyle w:val="TextBody"/>
        <w:bidi w:val="0"/>
        <w:spacing w:before="240" w:after="283"/>
        <w:jc w:val="both"/>
        <w:rPr>
          <w:rFonts w:ascii="Times New Roman" w:hAnsi="Times New Roman"/>
          <w:sz w:val="20"/>
        </w:rPr>
      </w:pPr>
      <w:r>
        <w:rPr>
          <w:rFonts w:ascii="Times New Roman" w:hAnsi="Times New Roman"/>
          <w:b/>
          <w:i/>
          <w:color w:val="000000"/>
          <w:sz w:val="20"/>
        </w:rPr>
        <w:t>Our quarterly results might fluctuate and if we fail to meet the expectations of analysts or investors, the trading price of our Class A common stock could decline substantially.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quarterly financial results might fluctuate as a result of a variety of factors, many of which are outside of our control. If our quarterly financial results fall below the expectations of investors or any securities analysts who might follow our stock, the price of our Class A common stock could decline substantially. Some of the important factors that might cause our revenue, operating results and cash flows to fluctuate from quarter to quarter include: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attract new customers and retain and increase sales to existing customers;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timing and size of new customer subscriptions and other agreements, renewals or cancellations;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customer budgets or priorities, particularly within mission-driven organizations that may be subject to significant shifts in funding or leadership based on various factors outside of our control;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variability in demand from CFLs, which can influence our revenue directly or indirectly from NCPs;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timing and size of our acquisitions and investments;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of new employees added;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 and timing of our equity-based compensation expenses;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productivity of our sales force;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 and timing of operating expenses and capital expenditures that we may incur to grow and expand our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development and introduction of new offerings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significant cybersecurity breaches and incidents, technical difficulties or interruptions in the availability of our platform;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timing of customer payments and payment defaults by customers;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general economic conditions that might harm either our customers’ ability or willingness to expand their usage of our platform, delay a prospective customer’s purchasing decision or affect customer retention;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impact of applicable tax laws, rules and regulations;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impact of new accounting pronouncements;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navigate reputational risks related to the faith-based nature of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these factors are outside of our control, and the occurrence of one or more of them might cause our revenue, operating results and cash flows to vary widely. As such, we believe that quarter-to-quarter comparisons of our revenue, operating results and cash flows might not be an indication of future performance. If our operating or financial results fall below the expectations of investors or analysts, the trading price of our Class A common stock could decline, potentially significantly.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trading price of our Class A common stock might be volatile or might decline regardless of our operating performance, resulting in substantial losses for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price of our Class A common stock is likely to be volatile and could be subject to fluctuations in response to various factors, some of which are beyond our control. Factors that could cause fluctuations in the trading price of our Class A common stock include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price and volume fluctuations in the overall stock market from time to time;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of shares of our Class A common stock by us or our stockholders;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public’s reaction to our press releases, other public announcements and filings with the SEC;</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rumors and market speculation involving us or other companies in our industry;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fluctuations in the trading volume of our shares or the size of our public float;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actual or anticipated changes or fluctuations in our results of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actual or anticipated developments in our business, our competitors’ businesses or the competitive landscape generally;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of securities analysts to maintain coverage of us, changes in actual or future expectations of investors or securities analysts or our failure to meet these estimates or the expectations of investors;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litigation involving us, our industry or both;</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governmental or regulatory actions or audits;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economic conditions and trends;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expiration of lock-up agreements or other restrictions on the sale or disposition of our securities;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accounting standards, policies, guidelines, interpretations or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an adverse impact on the trading price of our Class A common stock.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 the past, following periods of volatility in the overall market and the trading price of a particular company’s securities, securities class action litigation has often been instituted against these companies. Such litigation, if instituted against us, could result in substantial costs and a diversion of our management’s attention and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Substantial future sales of shares of our Class A common stock, or the perception that such sales may occur, could cause the trading price of our Class A common stock to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price of our Class A common stock could decline as a result of substantial sales of our Class A common stock, particularly sales by our directors, executive officers and significant stockholders, a large number of shares of our Class A common stock becoming available for sale or the perception in the market that holders of a large number of shares intend to sell their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Scott Beck, Pat Gelsinger and/or certain other members of our board of directors purchase shares in the offering in accordance with their indications of interest, any future transfers or sales of such shares may cause the price of our Class A common stock to decline. We cannot predict the number of these shares that might be sold nor the effect that future sales of the shares of our Class A common stock would have on the market price of our Class A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dual-class structure of our common stock may adversely affect the trading market for our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stock index providers have excluded companies with multiple classes of shares of common stock from being added to certain stock indices. Accordingly, the dual-class structure of our common stock makes us ineligible for inclusion in indices with such restrictions and, as a result, mutual funds, exchange-traded funds and other investment vehicles that attempt to passively track those indices may not invest in our Class A common stock. In addition, several stockholder advisory firms and large institutional investors have been critical of the use of multi-class structures. Such stockholder advisory firms may publish negative commentary about our corporate governance practices or our capital structure, which may dissuade large institutional investors from purchasing shares of our Class A common stock. These actions could make our Class A common stock less attractive to other investors and may result in a less active trading market for our Class A common stock.</w:t>
      </w:r>
    </w:p>
    <w:p>
      <w:pPr>
        <w:pStyle w:val="TextBody"/>
        <w:bidi w:val="0"/>
        <w:spacing w:before="240" w:after="283"/>
        <w:jc w:val="both"/>
        <w:rPr>
          <w:rFonts w:ascii="Times New Roman" w:hAnsi="Times New Roman"/>
          <w:sz w:val="20"/>
        </w:rPr>
      </w:pPr>
      <w:r>
        <w:rPr>
          <w:rFonts w:ascii="Times New Roman" w:hAnsi="Times New Roman"/>
          <w:b/>
          <w:i/>
          <w:color w:val="000000"/>
          <w:sz w:val="20"/>
        </w:rPr>
        <w:t>If securities or industry analysts either do not publish research about us or publish inaccurate or unfavorable research about us, our business or our market, or if they adversely change their recommendations regarding our Class A common stock, the trading price or trading volume of our Class A common stock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market for our Class A common stock is influenced in part by the research and reports that securities or industry analysts may publish about us, our business, our market or our competitors. If one or more securities analysts initiate research with an unfavorable rating or downgrade our Class A common stock, provide a more favorable recommendation about our competitors or publish inaccurate or unfavorable research about our business, our Class A common stock price would likely decline. If few securities analysts cover us, or if one or more of these analysts cease coverage of us or fail to publish reports on us regularly, we could lose visibility in the financial markets and demand for our securities could decrease, which in turn could cause the price and trading volume of our Class A common stock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issuance of additional capital stock in connection with financings, acquisitions, investments, our equity incentive plans or otherwise will dilute all other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If we acquire or make investments in complementary companies, products or technologies, we may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do not intend to pay dividends on our Class A common stock for the foreseeable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intend to retain all available funds and any future earnings to fund the development and growth of our businesses. As a result, we do not anticipate declaring or paying any cash dividends on our Class A common stock in the foreseeable future. As a result, stockholders must rely on appreciation in the price of our Class A common stock for a return on their investment. Any decision to declare and pay dividends in the future will be made at the discretion of our board of directors and will depend on, among other things, our business prospects, results of operations, financial condition, cash requirements and availability, industry trends and other factors that our board of directors may deem relevant. Any such decision also will be subject to compliance with contractual restrictions and covenants in the agreements governing our current indebtedness. In addition, our ability to pay dividends may be restricted by the terms of any future incurrence of debt.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Delaware law and provisions in our certificate of incorporation and bylaws might delay, discourage or prevent a change in control of our company or changes in our management, thereby depressing the trading price of our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certificate of incorporation and bylaws contain provisions that may make the acquisition of our company more difficult or delay or prevent changes in control of our management. Among other things, these provisions: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for a dual class common stock structure, with differing voting rights;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permit our board of directors to issue shares of preferred stock, with any powers, rights, preferences and privileges as they may designate;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the authorized number of directors may be changed only by resolution of the board of directors;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all vacancies and newly created directorships, may, except as otherwise required by law, our governing documents or resolution of our board of directors, and subject to the rights of holders of our preferred stock, only be filled by the affirmative vote of a majority of directors then in office, even if less than a quorum, provided that vacancies occurring on our board of directors created by the removal of a director by the stockholders may also be filled by a vote of the stockholders if, at the time of such action to fill such vacancy, there is a holder of shares of Class B common stock that has voting control over at least a majority of the voting power of our outstanding shares of capital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divide our board of directors into three classes, each of which stands for election once every three years;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so long as our board of directors is classified, and subject to the rights of holders of our preferred stock, provide that a director may only be removed from the board of directors by the stockholders for cause;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require that any action to be taken by our stockholders must be effected at a duly called annual or special meeting of stockholders and not be taken by written consent, provided that at any time that a holder of shares of Class B common stock has voting control over at least a majority of the voting power of our outstanding shares of capital stock, any action required or permitted to be taken by our stockholders may be taken by written consent in accordance with the DGCL as long as our board of directors has first recommended or approved such action or our board of directors and secretary have been provided with at least 30 days’ prior written notice of such action;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provide for cumulative voting rights (therefore allowing the holders of a plurality of the shares of common stock entitled to vote in any election of directors to elect all of the directors standing for election, if they should so choose);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special meetings of our stockholders may be called only by our board of directors, the chairperson of our board of directors, our chief executive officer or president, or a holder of shares of Class B common stock that has voting control over at least a majority of the voting power of our outstanding shares of capital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provisions, alone or together, could delay, discourage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pStyle w:val="TextBody"/>
        <w:bidi w:val="0"/>
        <w:spacing w:before="240" w:after="283"/>
        <w:jc w:val="both"/>
        <w:rPr>
          <w:rFonts w:ascii="Times New Roman" w:hAnsi="Times New Roman"/>
          <w:sz w:val="20"/>
        </w:rPr>
      </w:pPr>
      <w:r>
        <w:rPr>
          <w:rFonts w:ascii="Times New Roman" w:hAnsi="Times New Roman"/>
          <w:b/>
          <w:i/>
          <w:color w:val="000000"/>
          <w:sz w:val="20"/>
        </w:rPr>
        <w:t>Our bylaws designate a state or federal court located within the State of Delaware as the exclusive forum for substantially all disputes between us and our stockholders, and also provide that the federal district courts are the exclusive forum for resolving any complaint asserting a cause of action arising under the Securities Act, each of which could limit our stockholders’ ability to choose the judicial forum for disputes with us or our directors, officers, stockholders or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bylaws provide that, unless we consent in writing to the selection of an alternative forum, the sole and exclusive forum for (1) any derivative action brought on our behalf, (2) any action asserting a claim of breach of a fiduciary duty owed by any of our current or former directors, stockholders, officers or other employees to us or our stockholders, (3) any action arising pursuant to any provision of the DGCL or our certificate of incorporation or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This provision does not apply to any action brought to enforce a duty or liability created by the Exchange Act and the rules and regulations thereunder.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Section 22 of the Securities Act of 1933, as amended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are the sole and exclusive forum for resolving any complaint asserting a cause of action arising under the Securities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enforceability of similar exclusive forum provisions in other companies’ organizational documents has been challenged in legal proceedings, and it is possible that a court of law could rule that these types of provisions are inapplicable or unenforceable if they are challenged in a proceeding or otherwise. If a court were to find either exclusive forum provision contained in our bylaws to be inapplicable or unenforceable in an action, we may incur significant additional costs associated with resolving such dispute, as well as resolving such action in other jurisdictions, all of which could harm our results of operations.</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This Offering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If you purchase our Class A</w:t>
      </w:r>
      <w:r>
        <w:rPr>
          <w:rFonts w:ascii="Times New Roman" w:hAnsi="Times New Roman"/>
          <w:color w:val="000000"/>
          <w:sz w:val="20"/>
        </w:rPr>
        <w:t xml:space="preserve"> </w:t>
      </w:r>
      <w:r>
        <w:rPr>
          <w:rFonts w:ascii="Times New Roman" w:hAnsi="Times New Roman"/>
          <w:b/>
          <w:i/>
          <w:color w:val="000000"/>
          <w:sz w:val="20"/>
        </w:rPr>
        <w:t>common stock in this offering, you will incur immediate and substantial dilution in the book value of your shares.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public offering price will be substantially higher than the as adjusted net tangible book value per share of our Class A common stock after this offering. Investors purchasing Class A common stock in this offering will pay a price per share that substantially exceeds the as adjusted net tangible book value per share after this offering. As a result, investors purchasing Class A common stock in this offering will incur immediate dilution of $4.73 per share, based on the public offering price of $4.44 per share, representing the difference between our as adjusted net tangible book value per share after giving effect to this offering and the public offering price.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dilution is due to our investors who purchased shares prior to this offering having paid substantially less when they purchased their shares than the price offered to the public in this offering. To the extent outstanding options are exercised, there will be further dilution to new investors.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the section entitled “Dilution.” </w:t>
      </w:r>
    </w:p>
    <w:p>
      <w:pPr>
        <w:pStyle w:val="TextBody"/>
        <w:bidi w:val="0"/>
        <w:spacing w:before="240" w:after="283"/>
        <w:jc w:val="both"/>
        <w:rPr>
          <w:rFonts w:ascii="Times New Roman" w:hAnsi="Times New Roman"/>
          <w:sz w:val="20"/>
        </w:rPr>
      </w:pPr>
      <w:r>
        <w:rPr>
          <w:rFonts w:ascii="Times New Roman" w:hAnsi="Times New Roman"/>
          <w:b/>
          <w:i/>
          <w:color w:val="000000"/>
          <w:sz w:val="20"/>
        </w:rPr>
        <w:t>Substantial amounts of our outstanding shares may be sold into the market when the lock-up period ends. If there are substantial sales of shares of our Class A common stock, the price of our Class A common stock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existing stockholders sell, or indicate an intention to sell, substantial amounts of our Class A common stock in the public market after the lock-up and other legal restrictions on resale discussed in this prospectus lapse, the trading price of our Class A common stock could decline. Based on shares of Class A common stock outstanding as of April 30, 2026, upon the completion of this offering we will have outstanding a total of 18,405,352 shares of Class A common stock, assuming no exercise of the underwriters’ option to purchase an additional 1,050,000 shares. Of these shares, as of the date of this prospectus, 14,475,191 shares of Class A common stock, including the shares of Class A common stock sold in this offering by us, plus any shares sold upon exercise of the underwriters’ option to purchase an additional 1,050,000 shares, will be freely tradable, without restriction, in the public market immediately following this offering, assuming that our current directors and officers do not purchase shares in this offering. The remaining shares are subject to lock-up restrictions described below and elsewhere in this prospectus. The representatives of the underwriters, however, may, in their sole discretion, permit our officers, directors and other stockholders who are subject to these lock-up restrictions to sell shares prior to the expiration of the lock-up restrictions.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lock-up agreements pertaining to this offering will expire 90 days from the date of this prospectus, subject to earlier release of all or a portion of the shares subject to such agreements by the representatives of the underwriters in this offering in their sole discretion. After the lock-up agreements expire, based upon the number of shares of Class A common stock outstanding as of April 30, 2026, up to an additional 1,234,699 shares of Class A common stock will be eligible for sale in the public market, all of which are beneficially held by directors, executive officers and their affiliates and will be subject to certain limitations of Rule 144 under the Securities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shares of Class A common stock and Class B common stock that are either subject to outstanding options or reserved for future issuance under our existing equity compensation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Class A common stock could decline.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broad discretion in the use of our existing cash, cash equivalents and short-term investments and the net proceeds from this offering and may not use them effectively.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will have broad discretion in the application of our existing cash, cash equivalents and short-term investments and the net proceeds from this offering, including for any of the purposes described in the section entitled “Use of Proceeds,” and you will not have the opportunity as part of your investment decision to assess whether such proceeds are being used appropriately. Because of the number and variability of factors that will determine our use of our existing cash, cash equivalents and short-term investments and the net proceeds from this offering, their ultimate use may vary substantially from their currently intended use. Our management might not apply our existing cash, cash equivalents and short-term investments and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pStyle w:val="TextBody"/>
        <w:bidi w:val="0"/>
        <w:spacing w:before="240" w:after="283"/>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eading1"/>
        <w:bidi w:val="0"/>
        <w:spacing w:before="240" w:after="283"/>
        <w:jc w:val="center"/>
        <w:rPr>
          <w:rFonts w:ascii="Times New Roman" w:hAnsi="Times New Roman"/>
          <w:color w:val="000000"/>
          <w:sz w:val="20"/>
        </w:rPr>
      </w:pPr>
      <w:bookmarkStart w:id="6" w:name="note_regarding_forward_looking_statement"/>
      <w:bookmarkEnd w:id="6"/>
      <w:r>
        <w:rPr>
          <w:rFonts w:ascii="Times New Roman" w:hAnsi="Times New Roman"/>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prospectus and the documents incorporated by reference contain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prospectus include statements about: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scale our platform, manage our growth and expand our operations;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anticipated trends in our business and the faith and flourishing ecosystem;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future acquisitions and investments;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continue as a going concern;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remediate material weaknesses in our internal control over financial reporting;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raise additional capital;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retain and expand our customer base;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remain competitive;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develop new products and enhance our platform;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retain our senior management team and attract talented employees;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expectations of the performance, capabilities and attractiveness to our customers of our AI offerings;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maintain and enhance our brand;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general economic conditions and their impact on customer demand and charitable donations;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defend against claims, lawsuits, investigations, litigation and other proceedings;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comply with laws and regulations that currently apply or become applicable to our business;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expectations regarding our ability to obtain, maintain, enforce, defend and enhance our intellectual property rights;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anticipated use of the proceeds from this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prospectus.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including those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Neither we nor any other person assumes responsibility for the accuracy and completeness of any of these forward-looking statements. Moreover, 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investments, collaborations or similar transactions we may make.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eading1"/>
        <w:bidi w:val="0"/>
        <w:spacing w:before="240" w:after="283"/>
        <w:jc w:val="center"/>
        <w:rPr>
          <w:rFonts w:ascii="Times New Roman" w:hAnsi="Times New Roman"/>
          <w:color w:val="000000"/>
          <w:sz w:val="20"/>
        </w:rPr>
      </w:pPr>
      <w:bookmarkStart w:id="7" w:name="use_of_proceeds"/>
      <w:bookmarkEnd w:id="7"/>
      <w:r>
        <w:rPr>
          <w:rFonts w:ascii="Times New Roman" w:hAnsi="Times New Roman"/>
          <w:color w:val="000000"/>
          <w:sz w:val="20"/>
        </w:rPr>
        <w:t>USE OF PROCEEDS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estimate that the net proceeds from this offering will be approximately $28.2 million, based on the assumed public offering price of $4.44 per share, which is the last reported sale price of our Class A common stock on Nasdaq on July 2, 2026, and after deducting underwriting discounts and commissions and estimated offering expenses payable by us. If the underwriters exercise their option to purchase additional shares in full, we estimate that the net proceeds will be approximately $32.5 million, after deducting underwriting discounts and commissions and offering expenses payable by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$1.00 increase or decrease in the assumed public offering price of $4.44 per share, which is based on the last reported sale price of our Class A common stock on Nasdaq on July 2, 2026, would increase or decrease, as applicable, the net proceeds to us from this offering by $6.6 million, assuming the number of shares offered by us, as set forth on the cover page of this prospectus, remains the same and after deducting estimated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the net proceeds to us from this offering by $4.2 million, assuming that the assumed public offering price remains the same and after deducting estimated underwriting discounts and commissions and estimated offering expenses payable by us. We do not expect that a change in the public offering price or the number of shares by these amounts would have a material effect on our use of the proceeds from this offering, although it may accelerate the time when we need to seek additional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intend to use the net proceeds from this offering for general corporate purposes, including acquisitions and investments in businesses, products, services or technologies, working capital, operating expenses and capital expenditures. However, we do not have agreements or commitments for any acquisitions or investments at this time for which we will use the proceeds from this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Because we expect to use the net proceeds from this offering for working capital and other general corporate purposes, our management will have broad discretion over the use of the net proceeds from this offering. The timing and amount of our actual expenditures will be based on many factors, including cash flow from operations and the anticipated growth of our business. As of the date of this prospectus, we intend to invest the net proceeds that are not used as described above in capital-preservation investments, including short-term interest-bearing debt instruments or bank deposits.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eading1"/>
        <w:bidi w:val="0"/>
        <w:spacing w:before="240" w:after="283"/>
        <w:jc w:val="center"/>
        <w:rPr>
          <w:rFonts w:ascii="Times New Roman" w:hAnsi="Times New Roman"/>
          <w:color w:val="000000"/>
          <w:sz w:val="20"/>
        </w:rPr>
      </w:pPr>
      <w:bookmarkStart w:id="8" w:name="dividend_policy"/>
      <w:bookmarkEnd w:id="8"/>
      <w:r>
        <w:rPr>
          <w:rFonts w:ascii="Times New Roman" w:hAnsi="Times New Roman"/>
          <w:color w:val="000000"/>
          <w:sz w:val="20"/>
        </w:rPr>
        <w:t>DIVIDEND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that our board of directors may deem relevant, our results of operations, financial condition, contractual restrictions and capital requirements. Our future ability to pay cash dividends on our capital stock may be limited by any existing or future debt instruments or preferred securities.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eading1"/>
        <w:bidi w:val="0"/>
        <w:spacing w:before="240" w:after="283"/>
        <w:jc w:val="center"/>
        <w:rPr>
          <w:rFonts w:ascii="Times New Roman" w:hAnsi="Times New Roman"/>
          <w:color w:val="000000"/>
          <w:sz w:val="20"/>
        </w:rPr>
      </w:pPr>
      <w:bookmarkStart w:id="9" w:name="dilution"/>
      <w:bookmarkEnd w:id="9"/>
      <w:r>
        <w:rPr>
          <w:rFonts w:ascii="Times New Roman" w:hAnsi="Times New Roman"/>
          <w:color w:val="000000"/>
          <w:sz w:val="20"/>
        </w:rPr>
        <w:t>DILUTION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 invest in our Class A common stock in this offering, your ownership interest will be diluted to the extent of the difference between the public offering price per share of our Class A common stock and the as adjusted net tangible book value per share of our Class A common stock immediately after this offering. Net tangible book value dilution per share to investors participating in this offering represents the difference between the amount per share paid by purchasers of shares of our Class A common stock in this offering and the as adjusted net tangible book value per share of our common stock immediately after this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tangible book value per share is determined by dividing our total tangible assets less our total liabilities by the number of shares of our common stock outstanding. Our historical net tangible book value as of April 30, 2026, was $(53.3) million, or $(0.66)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After giving effect to the sale by us of 7,000,000 shares of our Class A common stock in this offering at the assumed public offering price of $4.44 per share, which is based on the last reported sale price of our Class A common stock on Nasdaq on July 2, 2026, and after deducting estimated underwriting discounts and commissions and estimated offering expenses payable by us our as adjusted net tangible book value to give effect to this offering as of April 30, 2026 would have been $(25.2) million, or $(0.29) per share. This represents an immediate increase in net tangible book value of $0.37 per share to our existing stockholders and an immediate dilution in as adjusted net tangible book value of $4.73 per share to investors purchasing shares of our Class A common stock in this offering at the assumed public offering price. The following table illustrates this dilution:</w:t>
      </w:r>
    </w:p>
    <w:p>
      <w:pPr>
        <w:pStyle w:val="TextBody"/>
        <w:bidi w:val="0"/>
        <w:jc w:val="left"/>
        <w:rPr/>
      </w:pPr>
      <w:r>
        <w:rPr/>
        <w:t> </w:t>
      </w:r>
    </w:p>
    <w:tbl>
      <w:tblPr>
        <w:tblW w:w="9269" w:type="dxa"/>
        <w:jc w:val="left"/>
        <w:tblInd w:w="0" w:type="dxa"/>
        <w:tblLayout w:type="fixed"/>
        <w:tblCellMar>
          <w:top w:w="28" w:type="dxa"/>
          <w:left w:w="28" w:type="dxa"/>
          <w:bottom w:w="28" w:type="dxa"/>
          <w:right w:w="28" w:type="dxa"/>
        </w:tblCellMar>
      </w:tblPr>
      <w:tblGrid>
        <w:gridCol w:w="6946"/>
        <w:gridCol w:w="146"/>
        <w:gridCol w:w="211"/>
        <w:gridCol w:w="526"/>
        <w:gridCol w:w="166"/>
        <w:gridCol w:w="146"/>
        <w:gridCol w:w="211"/>
        <w:gridCol w:w="526"/>
        <w:gridCol w:w="391"/>
      </w:tblGrid>
      <w:tr>
        <w:trPr/>
        <w:tc>
          <w:tcPr>
            <w:tcW w:w="6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public offering price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Historical net tangible book value per share as of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net tangible book value per share attributable to this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adjusted net tangible book value per share after this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Dilution in as adjusted net tangible book value per share to investors in this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$1.00 increase or decrease in the assumed public offering price of $4.44 per share, which is based on the last reported sale price of our Class A common stock on Nasdaq on July 2, 2026, would increase or decrease, as applicable, our as adjusted net tangible book value per share immediately after this offering by approximately $0.08, and would increase or decrease, as applicable, dilution per share to investors purchasing shares of Class A common stock in this offering by $0.92, assuming that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our Class A common stock offered by us would increase or decrease, as applicable, our as adjusted net tangible book value immediately after this offering by approximately $0.05 per share and increase or decrease, as applicable, the dilution to investors purchasing shares of Class A common stock in this offering by $0.05 per share, assuming the assumed public offering price remains the same, and after deducting estimated underwriting discounts and commissions and estimated offering expenses payable by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underwriters exercise their option in full to purchase 1,050,000 additional shares of Class A common stock in this offering, the as adjusted net tangible book value per share after the offering would be $(0.23) per share, the increase in the net tangible book value per share to existing stockholders would be $0.05 per share and the as adjusted dilution to investors purchasing Class A common stock in this offering would be $4.67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above discussion and table are based on 11,405,352 shares of our Class A common stock and 69,166,937 shares of our Class B common stock outstanding as of April 30, 2026, and excludes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10,118,529 shares of Class A common stock issued upon conversion of an equal number of shares of Class B common stock from May 1, 2026 through July 2, 2026, which we define as the Class B Conversion;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4,281,939 shares of our Class B common stock issuable upon the exercise of outstanding options under the 2014 Plan as of April 30, 2026, with a weighted-average exercise price of $7.79;</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9,264,329 shares of our Class A common stock issuable upon the exercise of outstanding options under the 2025 Plan as of April 30, 2026, with a weighted-average exercise price of $7.64;</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150,000 shares of our Class A common stock issuable upon the vesting and settlement of outstanding restricted stock units under the 2025 Plan awarded as of April 30, 2026;</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199,999 shares of Class B common stock issuable upon the exercise of warrants outstanding as of April 30, 2026, with a weighted-average exercise price of $18.00 per share;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8,198,170 shares of Class A common stock reserved for future issuance under the 2025 Plan as of April 30, 2026, as well as any automatic increases in the number of shares of our Class A common stock reserved for future issuance under this plan;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500,000 shares of Class A common stock reserved for future issuance under the ESPP as of April 30, 2026, as well as any automatic increases in the number of shares of our Class A common stock reserved for future issuance under this plan;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298,835 shares of Class B common stock held by our consolidated, majority-owned subsidiaries as of April 30, 2026, which are not entitled to vote pursuant to Section 160(c) of the Delaware General Corporation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extent that any outstanding options to purchase our common stock are exercised or new awards are granted under our equity compensation plans, or additional shares of our common stock are issued, there will be further dilution to investors participating in this offering.</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eading1"/>
        <w:bidi w:val="0"/>
        <w:spacing w:before="240" w:after="283"/>
        <w:jc w:val="center"/>
        <w:rPr>
          <w:rFonts w:ascii="Times New Roman" w:hAnsi="Times New Roman"/>
          <w:color w:val="000000"/>
          <w:sz w:val="20"/>
        </w:rPr>
      </w:pPr>
      <w:bookmarkStart w:id="10" w:name="unaudited_pro_forma_informatio"/>
      <w:bookmarkEnd w:id="10"/>
      <w:r>
        <w:rPr>
          <w:rFonts w:ascii="Times New Roman" w:hAnsi="Times New Roman"/>
          <w:color w:val="000000"/>
          <w:sz w:val="20"/>
        </w:rPr>
        <w:t>UNAUDITED PRO FORMA CONSOLIDATED FINANCIAL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unaudited pro forma consolidated financial information has been prepared in accordance with Article 11 of Regulation S-X. The unaudited pro forma consolidated statement of operations for the year ended January 31, 2026, gives effect to the acquisition and consolidation of Midwestern Interactive, LLC on June 11, 2025 (the “Midwestern Acquisition”) as if it had occurred on February 1, 2025, the first day of our most recently completed fiscal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unaudited pro forma consolidated financial information has been derived from and should be read in conjunction with (i) our historical audited consolidated financial statements included in our Annual Report on Form 10-K for the year ended January 31, 2026, which are incorporated by reference in this prospectus, and (ii) Midwestern’s historical audited consolidated financial statements as of and for the year ended December 31, 2024 and historical unaudited consolidated financial statements as of and for the three months ended March 31, 2025, included in our prospectus filed November 19, 2025, which are incorporated by reference in this prospectus.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unaudited pro forma consolidated statement of operations for the year ended January 31, 2026, combines the historical audited consolidated statement of operations of the Company for the year ended January 31, 2026 and the historical unaudited statement of operations of Midwestern for the period from February 1, 2025, through the date of consolidation, on a pro forma basis adjusted to give effect to the transaction as if it had occurred on February 1, 2025, the first day of our most recently completed fiscal year. The acquisition of Midwestern has been reflected in our historical unaudited consolidated balance sheet as of April 30, 2026 and historical unaudited consolidated statement of operations for the three months April 30, 2026, which is incorporated by reference into this prospectus. Accordingly, no pro forma condensed combined balance sheet as of April 30, 2026 or statement of operations for the three months ended April 30, 2026, is included in this unaudited pro forma consolidated financial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 forma transaction acquisition adjustments are based on available information and assumptions that management believes are reasonable and are intended to give effect to the Midwestern Acquisition as if it had occurred on February 1, 2025. The unaudited pro forma consolidated financial information has been prepared in accordance with Article 11 of Regulation S-X, and the pro forma adjustments and related assumptions are described in the accompanying notes. The unaudited pro forma consolidated financial information is presented for informational purposes only and does not purport to represent the results of operations or financial position that would have been achieved had the Midwestern Acquisition occurred as of the date indicated nor is it meant to be indicative of future results of operations for any future period or as of any future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unaudited pro forma consolidated financial information does not give effect to any cost savings, operating synergies, revenue enhancements or integration expenses that the combined company may achieve as a result of the Midwestern Acquisition, costs necessary to achieve such measures or costs to integrate the operations of the combined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unaudited pro forma consolidated financial information should be read in conjunction with the section titled “Risk Factors” included elsewhere in this prospectus, with the section titled “Management’s Discussion and Analysis of Financial Condition and Results of Operations” included in our Quarterly Report on Form 10-Q for the three months ended April 30, 2026, and in our Annual Report on Form 10-K for the year ended January 31, 2026, which are incorporated by reference.</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Unaudited Pro Forma Consolidated Statement of Operations for the Year Ended January 31, 2026</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08"/>
        <w:gridCol w:w="166"/>
        <w:gridCol w:w="146"/>
        <w:gridCol w:w="647"/>
        <w:gridCol w:w="151"/>
        <w:gridCol w:w="146"/>
        <w:gridCol w:w="166"/>
        <w:gridCol w:w="397"/>
        <w:gridCol w:w="1033"/>
        <w:gridCol w:w="146"/>
        <w:gridCol w:w="146"/>
        <w:gridCol w:w="166"/>
        <w:gridCol w:w="355"/>
        <w:gridCol w:w="1031"/>
        <w:gridCol w:w="151"/>
        <w:gridCol w:w="236"/>
        <w:gridCol w:w="166"/>
        <w:gridCol w:w="146"/>
        <w:gridCol w:w="647"/>
        <w:gridCol w:w="355"/>
      </w:tblGrid>
      <w:tr>
        <w:trPr/>
        <w:tc>
          <w:tcPr>
            <w:tcW w:w="3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Historical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Historical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Pro Forma</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(in thousands, except for share and per share data)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 xml:space="preserve">Gloo </w:t>
              <w:br/>
              <w:t>Holdings, Inc.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Midwestern Interactive, LLC (Note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Transaction Acquisition Adjustments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 xml:space="preserve">Gloo </w:t>
              <w:br/>
              <w:t>Holdings, Inc.</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Revenue:</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Platform revenue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57,208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57,208</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Platform solutions revenue</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41,437</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Total revenue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94,660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98,645</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Operating expenses: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Cost of revenue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71,554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75,295</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Product development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23,744</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Sales and marketing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36,483</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General and administrative</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59,498</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Depreciation and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11,350</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Total operating expenses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202,831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206,370</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Operating loss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(108,171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(107,725</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expense (income):</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Interest expense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14,421</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Other expense (income), net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(2,365</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Loss (gain) from change in fair value of financial instruments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33,528</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Loss on extinguishment of debt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7,473</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Total other expense (income),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52,981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53,057</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before income taxes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(161,152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(160,782</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Income tax (expense) benefit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Income (loss) from equity method investments, net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2,782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3,063</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(158,732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(158,082</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Less: net loss attributable to noncontrolling interests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(d)</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(1,474</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attributable to stockholders of Gloo Holdings, Inc.</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(157,128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(156,608</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per available to common stockholders of Gloo Holdings, Inc. (Class A and Class B), basic and diluted</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(182,222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(181,702</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per share attributable to common stockholders of Gloo Holdings, Inc. (Class A and Class B), basic and diluted</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Weighted-average common shares (Class A and Class B) of Gloo Holdings, Inc., basic and diluted</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22,696,229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22,696,229</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unaudited pro forma consolidated financial information has been prepared in accordance with Article 11 of Regulation S-X. The unaudited pro forma consolidated statement of operations for the year ended January 31, 2026 gives effect to the Midwestern Acquisition as if it had occurred on February 1, 2025, the first day of our most recently completed fiscal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obtained control of Midwestern on June 11, 2025, and consolidated Midwestern beginning on that date. The transaction was accounted for as a business combination under ASC 805. Accordingly, our historical audited consolidated statement of operations for the year ended January 31, 2026 includes the results of operations of Midwestern from June 11, 2025 through January 31, 2026. The unaudited pro forma consolidated statement of operations combines Midwestern’s historical unaudited results of operations for the period from February 1, 2025, through the date of consolidation to present the results of operations of the Company as if the Midwestern Acquisition had occurred on February 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acquisition of Midwestern has been reflected in our historical unaudited consolidated balance sheet as of April 30, 2026 and historical unaudited consolidated statement of operations for the three months April 30, 2026, which is incorporated by reference into this prospectus. Accordingly, no pro forma condensed combined balance sheet as of April 30, 2026, or statement of operations for the three months ended April 30, 2026, is included in this unaudited pro forma consolidated financial information.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Midwestern Acquisition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January 3, 2025, the Company acquired an 80.0% membership interest in Midwestern in exchange for approximately $31.7 million in purchase consideration. As part of this transaction, the Company entered into a call option agreement with the minority interest holder of Midwestern, granting them the right to repurchase at least 80.0% of the Midwestern units held by the Company at a fixed price (the MW Call Option). The MW Call Option becomes exercisable on the third anniversary of January 3, 2025, or upon a qualifying event, including an initial public offering, subject to certain conditions. Upon assessing our relationship with Midwestern, we determined that it could not consolidate Midwestern as of January 3, 2025, because the participating rights held by Midwestern’s minority interest holder limited the Company from unilaterally controlling Midwestern and it should instead account for Midwestern using the equity method of accounting.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January 2025 transaction, the Company entered into several financing arrangements, including promissory notes and an installment payment. The Company entered into Promissory Note 1 with a principal amount of $6.5 million and Promissory Note 2 with a principal amount of $2.4 million (collectively, the Promissory Notes). Promissory Note 1 provides for payments in equal monthly installments over approximately two hundred ten months. Promissory Note 2 provides for payments in monthly installments for the first fifty-three months, followed by a balloon payment of the remaining principal balance in month fifty-four. Additionally, the Company entered into an installment payment obligation with a principal amount of $3.2 million (the Installment Payment). The installment payment bears interest at a fixed rate of five percent and matures in January 2027. In conjunction with the issuance of the notes, the Company recognized debt discounts of 47.7%, 20.7% and 2.4% as of the measurement date for Promissory Note 1, Promissory Note 2 and the Installment Payment, respectively.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June 11, 2025, Midwestern amended its governing documents without additional consideration transferred from the Company. Following these changes to the governance of Midwestern, the Company determined that it had obtained control and should consolidate Midwestern as of June 11, 2025, in accordance with ASC 810, </w:t>
      </w:r>
      <w:r>
        <w:rPr>
          <w:rFonts w:ascii="Times New Roman" w:hAnsi="Times New Roman"/>
          <w:i/>
          <w:color w:val="000000"/>
          <w:sz w:val="20"/>
        </w:rPr>
        <w:t>Consolidation (ASC 810)</w:t>
      </w:r>
      <w:r>
        <w:rPr>
          <w:rFonts w:ascii="Times New Roman" w:hAnsi="Times New Roman"/>
          <w:color w:val="000000"/>
          <w:sz w:val="20"/>
        </w:rPr>
        <w:t>. Additionally, the Company recognized a $2.8 million reduction of the MW Call Option’s value, reflecting the modification to the original agreement.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historical financial information has been adjusted to present the Midwestern Acquisition on a pro forma basis, including adjustments to reflect the effect of accounting for Midwestern using the acquisition method of accounting in accordance with ASC 805, </w:t>
      </w:r>
      <w:r>
        <w:rPr>
          <w:rFonts w:ascii="Times New Roman" w:hAnsi="Times New Roman"/>
          <w:i/>
          <w:color w:val="000000"/>
          <w:sz w:val="20"/>
        </w:rPr>
        <w:t>Business Combinations (ASC 805)</w:t>
      </w:r>
      <w:r>
        <w:rPr>
          <w:rFonts w:ascii="Times New Roman" w:hAnsi="Times New Roman"/>
          <w:color w:val="000000"/>
          <w:sz w:val="20"/>
        </w:rPr>
        <w:t xml:space="preserve">. The Company completed the Midwestern Acquisition and has accounted for the transaction as a business combination in accordance with ASC 805, using the acquisition method of accounting, which results in acquired assets, assumed liabilities and noncontrolling interest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being measured at their estimated fair values as of the acquisition date, with goodwill being measured as excess of the consideration transferred over the fair value of net assets acquired.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total purchase price of the acquisition includes the following:</w:t>
      </w:r>
    </w:p>
    <w:p>
      <w:pPr>
        <w:pStyle w:val="TextBody"/>
        <w:bidi w:val="0"/>
        <w:jc w:val="left"/>
        <w:rPr/>
      </w:pPr>
      <w:r>
        <w:rPr/>
        <w:t> </w:t>
      </w:r>
    </w:p>
    <w:tbl>
      <w:tblPr>
        <w:tblW w:w="4428" w:type="dxa"/>
        <w:jc w:val="left"/>
        <w:tblInd w:w="0" w:type="dxa"/>
        <w:tblLayout w:type="fixed"/>
        <w:tblCellMar>
          <w:top w:w="28" w:type="dxa"/>
          <w:left w:w="28" w:type="dxa"/>
          <w:bottom w:w="28" w:type="dxa"/>
          <w:right w:w="28" w:type="dxa"/>
        </w:tblCellMar>
      </w:tblPr>
      <w:tblGrid>
        <w:gridCol w:w="3046"/>
        <w:gridCol w:w="146"/>
        <w:gridCol w:w="251"/>
        <w:gridCol w:w="709"/>
        <w:gridCol w:w="27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8,479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Promissory notes to seller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12,045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Fair value of call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8,792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Initial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31,436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Less: reduction in option due to June modification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Fair value of total consideration 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28,614</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purchase price was allocated to the tangible and identifiable intangible assets acquired, liabilities assumed and noncontrolling interest of Midwestern based on their estimated fair values as of the acquisition date, with any excess purchase price transferred allocated to goodwill:</w:t>
      </w:r>
    </w:p>
    <w:p>
      <w:pPr>
        <w:pStyle w:val="TextBody"/>
        <w:bidi w:val="0"/>
        <w:jc w:val="left"/>
        <w:rPr/>
      </w:pPr>
      <w:r>
        <w:rPr/>
        <w:t> </w:t>
      </w:r>
    </w:p>
    <w:tbl>
      <w:tblPr>
        <w:tblW w:w="4678" w:type="dxa"/>
        <w:jc w:val="left"/>
        <w:tblInd w:w="0" w:type="dxa"/>
        <w:tblLayout w:type="fixed"/>
        <w:tblCellMar>
          <w:top w:w="28" w:type="dxa"/>
          <w:left w:w="28" w:type="dxa"/>
          <w:bottom w:w="28" w:type="dxa"/>
          <w:right w:w="28" w:type="dxa"/>
        </w:tblCellMar>
      </w:tblPr>
      <w:tblGrid>
        <w:gridCol w:w="3376"/>
        <w:gridCol w:w="146"/>
        <w:gridCol w:w="236"/>
        <w:gridCol w:w="724"/>
        <w:gridCol w:w="19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Identified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Prepaid expense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LT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identifiable 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Fair value of previously held equity interests in acquiree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(31,438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Consideration trasferred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recorded finite-lived intangible assets related to customer relationships and trademarks of $4.6 million and $1.5 million, respectively. The fair value of the customer relationships was determined using the multi-period excess earnings method under the income approach and the fair value of the trademarks was determined using the relief from royalty rate method under the income approach. Acquired intangible assets are amortized over the estimated useful lives on a straight-line basis. The following table summarizes the fair values and estimated useful lives for the identifiable intangible assets acquired as of the acquisition date:</w:t>
      </w:r>
    </w:p>
    <w:p>
      <w:pPr>
        <w:pStyle w:val="TextBody"/>
        <w:bidi w:val="0"/>
        <w:spacing w:before="240" w:after="283"/>
        <w:jc w:val="both"/>
        <w:rPr/>
      </w:pPr>
      <w:r>
        <w:rPr/>
        <w:t> </w:t>
      </w:r>
    </w:p>
    <w:tbl>
      <w:tblPr>
        <w:tblW w:w="3665" w:type="dxa"/>
        <w:jc w:val="left"/>
        <w:tblInd w:w="0" w:type="dxa"/>
        <w:tblLayout w:type="fixed"/>
        <w:tblCellMar>
          <w:top w:w="28" w:type="dxa"/>
          <w:left w:w="28" w:type="dxa"/>
          <w:bottom w:w="28" w:type="dxa"/>
          <w:right w:w="28" w:type="dxa"/>
        </w:tblCellMar>
      </w:tblPr>
      <w:tblGrid>
        <w:gridCol w:w="1471"/>
        <w:gridCol w:w="146"/>
        <w:gridCol w:w="751"/>
        <w:gridCol w:w="146"/>
        <w:gridCol w:w="281"/>
        <w:gridCol w:w="679"/>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Estimated</w:t>
              <w:b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16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Reclassification Adjustment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unaudited pro forma condensed consolidated financial information, certain reclassification adjustments were made to conform the presentation of Midwestern, as presented in its historical consolidated financial statements, to that of the Company. These adjustments had no impact on total assets, total liabilities, net equity or net income as historically reported by Midwestern, but were necessary to align financial statement line items with our accounting and financial reporting framework. The following reclassification adjustments were applied to Midwestern’s historical unaudited results of operations for the period from February 1, 2025, through the date of consolidation: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3"/>
        <w:gridCol w:w="146"/>
        <w:gridCol w:w="1874"/>
        <w:gridCol w:w="146"/>
        <w:gridCol w:w="417"/>
        <w:gridCol w:w="335"/>
        <w:gridCol w:w="1007"/>
        <w:gridCol w:w="146"/>
        <w:gridCol w:w="146"/>
        <w:gridCol w:w="232"/>
        <w:gridCol w:w="187"/>
        <w:gridCol w:w="617"/>
        <w:gridCol w:w="151"/>
        <w:gridCol w:w="146"/>
        <w:gridCol w:w="436"/>
        <w:gridCol w:w="146"/>
        <w:gridCol w:w="321"/>
        <w:gridCol w:w="258"/>
        <w:gridCol w:w="776"/>
        <w:gridCol w:w="195"/>
      </w:tblGrid>
      <w:tr>
        <w:trPr/>
        <w:tc>
          <w:tcPr>
            <w:tcW w:w="2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Gloo Holdings, Inc.'s Presentation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Midwestern Interactive, LLC's Presentation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Midwestern Interactive, LLC, as presented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Reclassification</w:t>
              <w:br/>
              <w:t>Adjustments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 xml:space="preserve">Midwestern Interactive, LLC, </w:t>
              <w:br/>
              <w:t>as reclassified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(in thousands)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Platform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Platform solutions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Impairment of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Loss (gain) from change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Income (loss) from equity method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Less: 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 attributable to stockholders of Gloo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04"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Allocated $5.8 million of revenue to ‘Platform revenue’ in accordance with our accounting classification for comparable revenue generated from similar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reclassification adjustments are presented solely to conform presentation formats and may not reflect all reclassifications necessary to conform Midwestern’s historical presentation to that of the Company due to limitations on the availability of information as of the date of this Prospectus.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Unaudited Pro Forma Adjustments and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made the following adjustments and assumptions in the preparation of the unaudited pro forma information:</w:t>
      </w:r>
    </w:p>
    <w:p>
      <w:pPr>
        <w:pStyle w:val="TextBody"/>
        <w:bidi w:val="0"/>
        <w:spacing w:before="240" w:after="283"/>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Reflects the elimination of $1.8 million of revenue and $1.1 million of general and administrative expenses for the year ended January 31, 2026, that would have been treated as intercompany transactions and eliminated upon consolidation between the Company and Midwestern had the Midwestern Acquisition occurred on February 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Reflects incremental amortization expense of $0.2 million related to finite-lived intangible assets that would have been recognized for the year ended January 31, 2026, had the Midwestern Acquisition occurred 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February 1, 2025. The adjustments have been calculated using the straight-line method over the respective estimated useful lives and are based on the step-up in fair value identified in the purchase price allocation:</w:t>
      </w:r>
    </w:p>
    <w:p>
      <w:pPr>
        <w:pStyle w:val="TextBody"/>
        <w:bidi w:val="0"/>
        <w:spacing w:before="240" w:after="283"/>
        <w:jc w:val="left"/>
        <w:rPr/>
      </w:pPr>
      <w:r>
        <w:rPr/>
        <w:t> </w:t>
      </w:r>
    </w:p>
    <w:tbl>
      <w:tblPr>
        <w:tblW w:w="6271" w:type="dxa"/>
        <w:jc w:val="left"/>
        <w:tblInd w:w="0" w:type="dxa"/>
        <w:tblLayout w:type="fixed"/>
        <w:tblCellMar>
          <w:top w:w="28" w:type="dxa"/>
          <w:left w:w="28" w:type="dxa"/>
          <w:bottom w:w="28" w:type="dxa"/>
          <w:right w:w="28" w:type="dxa"/>
        </w:tblCellMar>
      </w:tblPr>
      <w:tblGrid>
        <w:gridCol w:w="2056"/>
        <w:gridCol w:w="1336"/>
        <w:gridCol w:w="146"/>
        <w:gridCol w:w="181"/>
        <w:gridCol w:w="173"/>
        <w:gridCol w:w="517"/>
        <w:gridCol w:w="146"/>
        <w:gridCol w:w="146"/>
        <w:gridCol w:w="462"/>
        <w:gridCol w:w="280"/>
        <w:gridCol w:w="637"/>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Estimated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 xml:space="preserve">Incremental </w:t>
              <w:br/>
              <w:t>Amortization 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Customer relationships</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16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Trademarks</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Incremental amortization expense</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Reflects the elimination of $0.3 million of equity method investments net losses associated with Midwestern recognized in the historical consolidated statement of operations of the Company for the year ended January 31, 2026, to align the timing of the transaction and reflect the application of consolidation accounting as if the Midwestern Acquisition had occurred on February 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Reflects the effect of the other transaction acquisition adjustments on net loss attributable to noncontrolling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Reflects the income tax effect of the pro forma adjustments based on our estimated blended statutory tax rate of (0.2%) for the year ended January 31, 2026. The effective tax rate of the combined company could differ materially depending on post-acquisition activities, jurisdictional mix of earnings, changes in valuation allowance conclusions and other factors.</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Unaudited Pro Forma Net Loss Per Share Attributable to Stockholders of Gloo Holdings,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 forma net loss per share attributable to common stockholders of Gloo Holdings, Inc., basic and diluted, is computed by dividing pro forma net loss available to common stockholders of Gloo Holdings, Inc. by the weighted-average common shares. The following table sets forth the computation of pro forma net loss per share attributable to common stockholders of Gloo Holdings, Inc., basic and diluted:</w:t>
      </w:r>
    </w:p>
    <w:p>
      <w:pPr>
        <w:pStyle w:val="TextBody"/>
        <w:bidi w:val="0"/>
        <w:spacing w:before="240" w:after="283"/>
        <w:jc w:val="both"/>
        <w:rPr/>
      </w:pPr>
      <w:r>
        <w:rPr/>
        <w:t> </w:t>
      </w:r>
    </w:p>
    <w:tbl>
      <w:tblPr>
        <w:tblW w:w="10112" w:type="dxa"/>
        <w:jc w:val="left"/>
        <w:tblInd w:w="0" w:type="dxa"/>
        <w:tblLayout w:type="fixed"/>
        <w:tblCellMar>
          <w:top w:w="28" w:type="dxa"/>
          <w:left w:w="28" w:type="dxa"/>
          <w:bottom w:w="28" w:type="dxa"/>
          <w:right w:w="28" w:type="dxa"/>
        </w:tblCellMar>
      </w:tblPr>
      <w:tblGrid>
        <w:gridCol w:w="7471"/>
        <w:gridCol w:w="365"/>
        <w:gridCol w:w="294"/>
        <w:gridCol w:w="1546"/>
        <w:gridCol w:w="436"/>
      </w:tblGrid>
      <w:tr>
        <w:trPr/>
        <w:tc>
          <w:tcPr>
            <w:tcW w:w="74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7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(in thousands, except for share and per share data)</w:t>
            </w:r>
          </w:p>
        </w:tc>
        <w:tc>
          <w:tcPr>
            <w:tcW w:w="22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For the Year Ended January 31, 2026</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Numerator:</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4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 forma net loss attributable to stockholders of Gloo Holdings, Inc.</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(156,608</w:t>
            </w:r>
          </w:p>
        </w:tc>
        <w:tc>
          <w:tcPr>
            <w:tcW w:w="43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w:t>
            </w:r>
          </w:p>
        </w:tc>
      </w:tr>
      <w:tr>
        <w:trPr/>
        <w:tc>
          <w:tcPr>
            <w:tcW w:w="747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Less: Undeclared cumulative dividends on Series A Preferred Units</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17,694</w:t>
            </w:r>
          </w:p>
        </w:tc>
        <w:tc>
          <w:tcPr>
            <w:tcW w:w="43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4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4"/>
              </w:rPr>
            </w:pPr>
            <w:r>
              <w:rPr>
                <w:rFonts w:ascii="Times New Roman" w:hAnsi="Times New Roman"/>
                <w:color w:val="000000"/>
                <w:sz w:val="14"/>
              </w:rPr>
              <w:t>Less: Deemed dividend for conversion of Member Advance</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7,400</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4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 forma net loss per available to common stockholders of Gloo Holdings, Inc. (Class A and Class B), basic and diluted</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(181,702</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Denominator:</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4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Weighted-average common shares (Class A and Class B) of Gloo Holdings, Inc., basic and diluted</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22,696,229</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 forma net loss per share attributable to common stockholders of Gloo Holdings, Inc. (Class A and Class B), basic and diluted</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(8.01</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sz w:val="20"/>
        </w:rPr>
      </w:pPr>
      <w:bookmarkStart w:id="11" w:name="principal_stockholders"/>
      <w:bookmarkEnd w:id="11"/>
      <w:r>
        <w:rPr>
          <w:rFonts w:ascii="Times New Roman" w:hAnsi="Times New Roman"/>
          <w:b/>
          <w:color w:val="000000"/>
          <w:sz w:val="20"/>
        </w:rPr>
        <w:t>PRINCIPAL</w:t>
      </w:r>
      <w:r>
        <w:rPr>
          <w:rFonts w:ascii="Times New Roman" w:hAnsi="Times New Roman"/>
          <w:color w:val="000000"/>
          <w:sz w:val="20"/>
        </w:rPr>
        <w:t xml:space="preserve"> </w:t>
      </w:r>
      <w:r>
        <w:rPr>
          <w:rFonts w:ascii="Times New Roman" w:hAnsi="Times New Roman"/>
          <w:b/>
          <w:color w:val="000000"/>
          <w:sz w:val="20"/>
        </w:rPr>
        <w:t>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information regarding the beneficial ownership of our capital stock as of May 15, 2026 by: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person, or group of affiliated persons, known by us to beneficially own more than 5% of any class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our named executive officers;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our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executive officers and directors as a group.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determined beneficial ownership in accordance with the rules and regulations of the SEC, and thus it represents sole or shared voting or investment power with respect to our securities. Unless otherwise indicated, the persons or entities identified in the table have sole voting power and sole investment power with respect to all shares shown as beneficially owned by them, subject to community property laws where applicable. The information does not necessarily indicate beneficial ownership for any other purpose, including for purposes of Section 13(d) and 13(g) of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percentage of beneficial ownership prior to the offering shown in the table is based upon 13,108,949 shares of Class A common stock and 68,999,538 shares of Class B common stock outstanding as of May 15, 2026. The percentage of beneficial ownership after the offering shown in the table is based on 20,108,949 shares of Class A common stock and 68,999,538 shares of Class B common stock outstanding after the closing of this offering, assuming no exercise of the underwriters’ option to purchase additional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deemed shares of our Class B common stock subject to stock options and warrants that are currently exercisable or exercisable within 60 days of May 15,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does not give effect to (1) any conversions of shares of Class B common stock into shares of Class A common stock that have occurred after May 15, 2026 or (2) any shares of Class A common stock that may be purchased in this offering by the persons included therein, and excludes 298,835 shares of Class B common stock held by our consolidated, majority-owned subsidiaries as of May 15, 2026, which are not entitled to vote pursuant to Section 160(c) of the Delaware General Corporation Law.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otherwise indicated, the address for each person or entity listed in the table is c/o Gloo Holdings, Inc., 831 Pearl Street, Boulder, Colorado 80302.</w:t>
      </w:r>
    </w:p>
    <w:p>
      <w:pPr>
        <w:pStyle w:val="TextBody"/>
        <w:bidi w:val="0"/>
        <w:jc w:val="both"/>
        <w:rPr/>
      </w:pPr>
      <w:r>
        <w:rPr/>
        <w:t> </w:t>
      </w:r>
    </w:p>
    <w:tbl>
      <w:tblPr>
        <w:tblW w:w="13558" w:type="dxa"/>
        <w:jc w:val="left"/>
        <w:tblInd w:w="0" w:type="dxa"/>
        <w:tblLayout w:type="fixed"/>
        <w:tblCellMar>
          <w:top w:w="28" w:type="dxa"/>
          <w:left w:w="28" w:type="dxa"/>
          <w:bottom w:w="28" w:type="dxa"/>
          <w:right w:w="28" w:type="dxa"/>
        </w:tblCellMar>
      </w:tblPr>
      <w:tblGrid>
        <w:gridCol w:w="826"/>
        <w:gridCol w:w="146"/>
        <w:gridCol w:w="146"/>
        <w:gridCol w:w="146"/>
        <w:gridCol w:w="691"/>
        <w:gridCol w:w="146"/>
        <w:gridCol w:w="146"/>
        <w:gridCol w:w="146"/>
        <w:gridCol w:w="216"/>
        <w:gridCol w:w="535"/>
        <w:gridCol w:w="211"/>
        <w:gridCol w:w="146"/>
        <w:gridCol w:w="146"/>
        <w:gridCol w:w="146"/>
        <w:gridCol w:w="766"/>
        <w:gridCol w:w="146"/>
        <w:gridCol w:w="146"/>
        <w:gridCol w:w="146"/>
        <w:gridCol w:w="216"/>
        <w:gridCol w:w="535"/>
        <w:gridCol w:w="211"/>
        <w:gridCol w:w="146"/>
        <w:gridCol w:w="197"/>
        <w:gridCol w:w="419"/>
        <w:gridCol w:w="211"/>
        <w:gridCol w:w="146"/>
        <w:gridCol w:w="146"/>
        <w:gridCol w:w="146"/>
        <w:gridCol w:w="691"/>
        <w:gridCol w:w="146"/>
        <w:gridCol w:w="146"/>
        <w:gridCol w:w="146"/>
        <w:gridCol w:w="167"/>
        <w:gridCol w:w="167"/>
        <w:gridCol w:w="417"/>
        <w:gridCol w:w="146"/>
        <w:gridCol w:w="211"/>
        <w:gridCol w:w="146"/>
        <w:gridCol w:w="146"/>
        <w:gridCol w:w="146"/>
        <w:gridCol w:w="766"/>
        <w:gridCol w:w="146"/>
        <w:gridCol w:w="146"/>
        <w:gridCol w:w="146"/>
        <w:gridCol w:w="167"/>
        <w:gridCol w:w="167"/>
        <w:gridCol w:w="417"/>
        <w:gridCol w:w="146"/>
        <w:gridCol w:w="211"/>
        <w:gridCol w:w="146"/>
        <w:gridCol w:w="146"/>
        <w:gridCol w:w="146"/>
        <w:gridCol w:w="361"/>
        <w:gridCol w:w="146"/>
        <w:gridCol w:w="256"/>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 Beneficially Owned Prior to the Offering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of</w:t>
              <w:b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2" w:type="dxa"/>
            <w:gridSpan w:val="2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 Beneficially Owned After the Offering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of</w:t>
              <w:b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Common Stock</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Voting</w:t>
              <w:br/>
              <w:t>Power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Voting</w:t>
              <w:br/>
              <w:t>Power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 of Beneficial Owner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Prior to the</w:t>
              <w:br/>
              <w:t>Offering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After the</w:t>
              <w:br/>
              <w:t>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Greater than 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Pearl Street Trust</w:t>
            </w:r>
            <w:r>
              <w:rPr>
                <w:rFonts w:ascii="Times New Roman" w:hAnsi="Times New Roman"/>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29,029,209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29,029,209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Thrivent Financial for Lutherans</w:t>
            </w: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4,786,477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4,786,477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The Stephen and Pamela Thorne 2020 Nevada Irrevocable Trust</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3,776,773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3,776,773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Grace and Mercy Foundation, Inc.</w:t>
            </w: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Jesus Fund</w:t>
            </w:r>
            <w:r>
              <w:rPr>
                <w:rFonts w:ascii="Times New Roman" w:hAnsi="Times New Roman"/>
                <w:color w:val="000000"/>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Dragonfly Trust</w:t>
            </w:r>
            <w:r>
              <w:rPr>
                <w:rFonts w:ascii="Times New Roman" w:hAnsi="Times New Roman"/>
                <w:color w:val="000000"/>
                <w:sz w:val="9"/>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808,478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808,478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Erik Olson</w:t>
            </w:r>
            <w:r>
              <w:rPr>
                <w:rFonts w:ascii="Times New Roman" w:hAnsi="Times New Roman"/>
                <w:color w:val="000000"/>
                <w:sz w:val="9"/>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1,072,084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1,072,084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Nine Group Holdings, LLC</w:t>
            </w:r>
            <w:r>
              <w:rPr>
                <w:rFonts w:ascii="Times New Roman" w:hAnsi="Times New Roman"/>
                <w:color w:val="000000"/>
                <w:sz w:val="9"/>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1,536,198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1,536,198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Named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Scott Beck</w:t>
            </w:r>
            <w:r>
              <w:rPr>
                <w:rFonts w:ascii="Times New Roman" w:hAnsi="Times New Roman"/>
                <w:color w:val="000000"/>
                <w:sz w:val="9"/>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32,641,428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32,641,428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Patrick Gelsinger</w:t>
            </w:r>
            <w:r>
              <w:rPr>
                <w:rFonts w:ascii="Times New Roman" w:hAnsi="Times New Roman"/>
                <w:color w:val="000000"/>
                <w:sz w:val="9"/>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161,653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1,299,264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161,653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1,299,264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Paul Seamon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Bishop Claude Alexander, Jr.</w:t>
            </w:r>
            <w:r>
              <w:rPr>
                <w:rFonts w:ascii="Times New Roman" w:hAnsi="Times New Roman"/>
                <w:color w:val="000000"/>
                <w:sz w:val="9"/>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John Furst</w:t>
            </w:r>
            <w:r>
              <w:rPr>
                <w:rFonts w:ascii="Times New Roman" w:hAnsi="Times New Roman"/>
                <w:color w:val="000000"/>
                <w:sz w:val="9"/>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1,907,854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1,907,854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Derek Green</w:t>
            </w:r>
            <w:r>
              <w:rPr>
                <w:rFonts w:ascii="Times New Roman" w:hAnsi="Times New Roman"/>
                <w:color w:val="000000"/>
                <w:sz w:val="9"/>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61,110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61,110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Elizabeth Grennan</w:t>
            </w:r>
            <w:r>
              <w:rPr>
                <w:rFonts w:ascii="Times New Roman" w:hAnsi="Times New Roman"/>
                <w:color w:val="000000"/>
                <w:sz w:val="9"/>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Robert Gruenewald</w:t>
            </w:r>
            <w:r>
              <w:rPr>
                <w:rFonts w:ascii="Times New Roman" w:hAnsi="Times New Roman"/>
                <w:color w:val="000000"/>
                <w:sz w:val="9"/>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74,987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74,987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Nona Jones</w:t>
            </w:r>
            <w:r>
              <w:rPr>
                <w:rFonts w:ascii="Times New Roman" w:hAnsi="Times New Roman"/>
                <w:color w:val="000000"/>
                <w:sz w:val="9"/>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All directors and executive officers as a group</w:t>
              <w:br/>
              <w:t>   (10 persons)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1,234,699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36,040,948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1,234,699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36,040,948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240" w:after="283"/>
        <w:jc w:val="both"/>
        <w:rPr/>
      </w:pPr>
      <w:r>
        <w:rPr/>
        <w:t> </w:t>
      </w:r>
    </w:p>
    <w:p>
      <w:pPr>
        <w:pStyle w:val="TextBody"/>
        <w:pBdr>
          <w:bottom w:val="single" w:sz="8" w:space="1" w:color="000000"/>
        </w:pBdr>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Represents beneficial ownership of less than 1%.</w:t>
      </w:r>
      <w:r>
        <w:rPr>
          <w:rFonts w:ascii="Times New Roman" w:hAnsi="Times New Roman"/>
          <w:color w:val="000000"/>
          <w:sz w:val="20"/>
        </w:rPr>
        <w:t xml:space="preserve">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 The Class B common stock is convertible at any time by the holder into shares of Class A common stock on a one-for-one basis, such that each holder of Class B common stock beneficially owns an equivalent number of shares of Class A common stock.</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 Represents the voting power with respect to all shares of our Class A common stock and Class B common stock, voting together as a single class. Each share of Class A common stock is entitled to one vote per share, and each share of Class B common stock is entitled to ten votes per share. The Class A common stock and Class B common stock vote together on all matters (including the election of directors) submitted to a vote of our stockholders, except under limited circumstances.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Consists of 446,386 shares of Class A common stock and 29,029,209 shares of Class B common stock held of record by Pearl Street Trust. Mr. Beck is trustee of Pearl Street Trust and may be deemed to have beneficial ownership of such shares. The address for this beneficial owner is 831 Pearl Street, Boulder, Colorado, 80302.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on a Schedule 13G/A filed with the SEC on May 14, 2026. Consists of 4,786,477 shares of Class B common stock held of record by Thrivent Financial for Lutherans. The address for this beneficial owner is 901 Marquette Avenue, Suite 2500, Minneapolis, Minnesota 55402.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on a Schedule 13G filed with the SEC on March 17, 2026. Consists of (a) 366,666 shares of Class B common stock held of record by the Stephen and Pamela Thorne 2020 Nevada Irrevocable Trust Dated December 18, 2020 (the “Thorne Trust”), and (b) 3,410,107 shares of Class B common stock held of record by Excellence Worldwide, LLC, the sole member of which is the Thorne Trust. Stephen E. Thorne, IV and Pamela A. Thorne serve as management trustees of the Thorne Trust and managers of Excellence Worldwide, LLC and therefore may be deemed to hold voting and dispositive power with respect to the shares held of record by Excellence Worldwide, LLC. The address for this beneficial owner is 3521 Volunteer Blvd., Henderson, Nevada 89044.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on a Schedule 13D/A filed with the SEC on January 12, 2026 by Grace and Mercy Foundation, Inc. Consists of 2,500,000 shares of Class A common stock held of record. The address for this beneficial owner is 3888 Seventh Avenue, 22nd Floor, New York, New York, 10106.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Based on a Schedule 13G filed with the SEC on December 22, 2025 by Jesus Fund. Consists of 1,250,000 shares of Class A common stock held of record. The address for this beneficial owner is 809 S. 52nd Street, Suite A, Rogers, Arkansas 72758.</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Based on a Schedule 13G filed with the SEC on January 23, 2026 by Dragonfly Trust. Consists of 808,478 shares of Class A common stock held of record. The address for this beneficial owner is 2450 Harborside Drive, Apt. 232, Longboat Key, Florida 34228.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on a Schedule 13G filed with the SEC on February 4, 2026 by EKO Real Estate Holdings, LLC (“EKO”) and Erik S. Olson. Consists of (a) 25,641 shares of Class A Common Stock and 828,123 shares of Class B common stock held of record, and (b) 1,250,000 shares of Class A Common Stock held of record by EKO Real Estate Holdings, LLC and 243,961 shares of Class B common stock held of record by an LLC of which Mr. Olson is a member and manager. Mr. Olson is a member and manager of EKO Real Estate Holdings, LLC, and may be deemed to have beneficial ownership of such shares. The address for this beneficial owner is 9085 Marshall Ct, Westminster, CO, 80031.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on a Schedule 13G filed with the SEC on May 7, 2026 by Nine Group Holdings, LLC. Consists of 1,536,198 shares of Class A common stock held of record. The address for this beneficial owner is 4222 22nd Avenue South, Unit #530579, St. Petersburg, Florida 33711.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(a) 1,166,666 shares of Class B common stock and 23,331 shares underlying options to purchase shares of Class B common stock that are exercisable within 60 days of May 15, 2026, and (b) 446,386 shares of Class A common stock held of record by Pearl Street Trust, 29,029,209 shares of Class B common stock held of record by Pearl Street Trust, 1,833,333 shares of Class B common stock held of record by The Theresa Beck 2020 Irrevocable Trust dated May 30, 2020, 500,000 shares of Class B common stock held of record by The Scott A. Beck 2025 Irrevocable Trust, and 88,889 shares of Class B common stock held of record by Bowanabee Foundation. Mr. Beck is (a) the trustee of The Theresa Beck 2020 Irrevocable Trust dated May 30, 2020, (b) the trustee of The Scott A. Beck 2025 Irrevocable Trust, and (c) a director of Bowanabee Foundation. By virtue of his relationships, Mr. Beck may be deemed to have beneficial ownership of the shares held of record by each of Pearl Street Trust, The Theresa Beck 2020 Irrevocable Trust dated May 30, 2020, The Scott A. Beck 2025 Irrevocable Trust and Bowanabee Foundation.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(a) 128,205 shares of Class B common stock and 431,473 shares underlying options to purchase shares of Class B common stock that are exercisable within 60 days of May 15, 2026, and (b) 55,976 shares of Class B common stock held by Nathan Paul Gelsinger 2018 Trust, 55,977 shares of Class B common stock held by Elizabeth Marie Lee 2018 Trust, 55,977 shares of Class B common stock held by Micah Daniel Gelsinger 2018 Trust, 55,977 shares of Class B common stock held by Josiah Patrick Gelsinger 2018 Trust, 355,934 shares of Class B common stock held by Patrick P. Gelsinger Revocable Trust (UAD 11/7/2000), and 161,653 shares of Class A common stock and 159,745 shares of Class B common stock held by Patrick &amp; Linda Gelsinger Trust UAD 07/29/2017. Mr. Gelsinger is the trustee of Nathan Paul Gelsinger 2018 Trust, Elizabeth Marie Lee 2018 Trust, Micah Daniel Gelsinger 2018 Trust, Josiah Patrick Gelsinger 2018 Trust, Patrick P. Gelsinger Revocable Trust (UAD 11/7/2000) and Patrick &amp; Linda Gelsinger Trust UAD 07/29/2017. By virtue of his relationships, Mr. Gelsinger may be deemed to have beneficial ownership of the shares held by each of Nathan Paul Gelsinger 2018 Trust, Elizabeth Marie Lee 2018 Trust, Micah Daniel Gelsinger 2018 Trust, Josiah Patrick Gelsinger 2018 Trust, Patrick P. Gelsinger Revocable Trust (UAD 11/7/2000) and Patrick &amp; Linda Gelsinger Trust UAD 07/29/2017.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5,555 shares underlying options to purchase shares of Class B common stock that are exercisable within 60 days of May 15,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(a) 250,000 shares of Class A common stock and 5,555 shares underlying options to purchase shares of Class B common stock that are exercisable within 60 days of May 15, 2026, and (b) 544,444 shares of Class B common stock held of record by JAJO Partners, LP, 732,856 shares of Class B common stock held of record by Oak Stream Investors III, Ltd., 458,333 shares of Class B common stock held of record by InspireHub, Inc., and 166,666 shares underlying warrants exercisable for shares of Class B common stock within 60 days of May 15, 2026 held of record by FMAB Partners LP. Mr. Furst is (a) the president of JAJO LLC which is the general partner of JAJO Partners LP, and FMAB Partners, LP (b) the chairman of the board of Oak Stream Ranch which is the general partner of Oak Stream Investors III, Ltd and (c) the director of InspireHub, Inc. By virtue of his relationships, Mr. Furst may be deemed to have beneficial ownership of the shares held by each of JAJO Partners, LP, FMAB Partners, LP, Oak Stream Investors III, Ltd. and InspireHub, Inc.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(a) 5,555 shares underlying options to purchase shares of Class B common stock that are exercisable within 60 days of May 15, 2026, and (b) 250,000 shares of Class A common stock held of record by HL American Investments LLC and 55,555 shares of Class B common stock held of record by HL American Investments LLC. Mr. Green is the vice president of investments of HL American Investments LLC and may be deemed to have beneficial ownership of the shares held of record by HL American Investments LLC.</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5,555 shares underlying options to purchase shares of Class B common stock that are exercisable within 60 days of May 15,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(a) 43,410 shares underlying options to purchase shares of Class A common stock that are exercisable within 60 days of May 15, 2026 and 40,271 shares underlying options to purchase shares of Class B common stock that are exercisable within 60 days of May 15, 2026, and (b) 34,716 shares underlying options to purchase shares of Class B common stock that are exercisable within 60 days of May 15, 2026 held of record by YouVersion, Inc. Mr. Gruenewald is the president, chief executive officer and a board member of YouVersion, Inc. and may be deemed to have beneficial ownership of the shares underlying the option.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3,000 shares underlying options to purchase shares of Class A common stock that are exercisable within 60 days of May 15, 2026 and 6,888 shares underlying options to purchase shares of Class B common stock that are exercisable within 60 days of May 15, 2026.</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CONFIDENTIAL TREATMENT REQUESTED</w:t>
      </w:r>
    </w:p>
    <w:p>
      <w:pPr>
        <w:pStyle w:val="TextBody"/>
        <w:bidi w:val="0"/>
        <w:jc w:val="center"/>
        <w:rPr>
          <w:rFonts w:ascii="Times New Roman" w:hAnsi="Times New Roman"/>
          <w:b/>
          <w:color w:val="000000"/>
          <w:sz w:val="20"/>
        </w:rPr>
      </w:pPr>
      <w:r>
        <w:rPr>
          <w:rFonts w:ascii="Times New Roman" w:hAnsi="Times New Roman"/>
          <w:b/>
          <w:color w:val="000000"/>
          <w:sz w:val="20"/>
        </w:rPr>
        <w:t>PURSUANT TO 17 C.F.R. SECTION 200.83</w:t>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2" w:name="description_of_capital_stock"/>
      <w:bookmarkEnd w:id="12"/>
      <w:r>
        <w:rPr>
          <w:rFonts w:ascii="Times New Roman" w:hAnsi="Times New Roman"/>
          <w:color w:val="000000"/>
          <w:sz w:val="20"/>
        </w:rPr>
        <w:t>DESCRIPTION OF CAPITAL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Gloo Holdings, Inc. has one class of securities registered under Section 12 of the Exchange Act: our Class A common stock, $0.001 par value per share. As used in this description, “we,” “us,” “our” and similar references refer to Gloo Holdings,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general terms and provisions of our common stock are summarized below. This summary does not purport to be complete and is subject to, and qualified in its entirety by reference to, the provisions of our certificate of incorporation and our bylaws, each of which are included as an exhibit to our Quarterly Report on Form 10-Q for the quarter ended April 30, 2026, and each of which may be amended from time to time. We encourage you to read our certificate of incorporation and bylaws and the applicable provisions of Delaware law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authorized capital stock consists of 5,200,000,000 shares, $0.001 par value per share, of which:</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5,000,000,000 shares are designated as Class A common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100,000,000 shares are designated as Class B common stock;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100,000,000 shares are designated as preferred stock.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authorized shares of common stock are designated as Class A common stock and Class B common stock. The rights of the holders of our Class A common stock and Class B common stock are identical, except with respect to voting and conversion.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Dividend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 Preemptive or Similar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common stock is not entitled to preemptive rights, and is not subject to redemption or sinking fund provisions. Our Class A common stock is not subject to conversion provisions.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Holders of our Class A common stock are entitled to one vote per share held as of the applicable record date on all matters submitted to a vote of the holders of our Class A common stock, and holders of our Class B common stock are entitled to ten votes per share held as of the applicable record date on all matters submitted to a vote of the holders of our Class B common stock. The holders of our Class A common stock and Class B common stock generally vote together as a single class on all matters submitted to a vote of our stockholders, unless otherwise required by Delaware law or our certificate of incorporation. Delaware law could require either holders of our Class A common stock or Class B common stock to vote separately as a single class if we were to seek to amend our certificate of incorporation in a manner that alters or changes the powers, preferences or special rights of such class of common stock in a manner that affected such shares adversely but does not so affect the shares of the other class of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stockholders at which a quorum is present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represented, the affirmative vote of a majority of the voting power of the shares present in person or represented by proxy at such meeting and entitled to vote on the subject matter shall be the act of the stockholders, except as otherwise provided by law, our governing documents or the rules of the Nasdaq Stock Market. The holders of a majority of the voting power of the capital stock issued and outstanding and entitled to vote as of the applicable record date, present in person or represented by proxy, shall constitute a quorum for the transaction of business at all meetings of the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certificate of incorporation and bylaws provide for a classified board of directors consisting of three classes of approximately equal size, each serving staggered three-year terms. Only the directors in one class will be elected at each annual meeting of our stockholders, with the directors in the other classes continuing for the remainder of their respective three-year terms.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Liquidation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Fully Paid and Nonassessable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our outstanding shares of Class A common stock are fully paid and non-assessable.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Conversion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outstanding shares of Class B common stock are convertible at any time as follows: (1) at the option of the holder, a share of Class B common stock may be converted at any time into one share of Class A common stock; and (2) upon the election of the holders of two-thirds of the then outstanding shares of Class B common stock, all outstanding shares of Class B common stock may be converted into shares of Class A common stock. In addition, each share of Class B common stock will convert automatically into one share of Class A common stock upon any transfer, whether or not for value, except for certain transfers described in our certificate of incorporation, including transfers to (1) family members, trusts and estate planning vehicles for the benefit of the stockholder or their family members, (2) partnerships, corporations and other entities controlled by the stockholder, their family members or such stockholder’s permitted transferees, (3) if the stockholder is an entity, to any natural person with voting control over the shares held by such entity as of the later of 11:59 p.m. eastern time on the Effective Date (as defined in our certificate of incorporation) or at such time as we first issue the shares to such entity or, if such natural person is also a holder of Class B common stock as of such time, to such natural person’s permitted transferees, and (4) charitable organizations that are exempt from taxation under section 501(c)(3) of the Internal Revenue Code of 1986, as amended (or any successor provision thereto), provided that such transfer does not involve any payment of cash, securities, property or other consideration. Once converted or transferred and converted into Class A common stock, the Class B common stock will not be reissued.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of directors has the authority, subject to limitations prescribed by Delaware law, to issue shares of authorized but unissued preferred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Anti-Takeover Effects of Certain Provisions of Delaware Law, Our Certificate of Incorporation and Our Bylaws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provisions of Delaware law, our certificate of incorporation and our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Delaware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governed by the provisions of Section 203 of the General Corporation Law of the DGCL.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business combination or transaction which resulted in the stockholder becoming an interested stockholder was approved by the board of directors prior to the time that the stockholder became an interested stockholder;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Section 203 defines a business combination to include: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mergers or consolidations involving the corporation, or any direct or indirect majority-owned subsidiary of the corporation, and the interested stockholder or any other entity if the merger or consolidation is caused by the interested stockholder;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sale, transfer, pledge or other disposition involving the interested stockholder of 10% or more of the assets of the corporation or any direct or indirect majority-owned subsidiary of the corporation;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exceptions, any transaction that results in the issuance or transfer by the corporation, or any direct or indirect majority-owned subsidiary of the corporation, of any stock of the corporation or such subsidiary to the interested stockholder;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receipt by the interested stockholder of the benefit of any loans, advances, guarantees, pledges or other financial benefits provided by or through the corporation.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provisions may have the effect of delaying, deferring or preventing changes in control of our company.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Certificate of Incorporation and Bylaws Provisions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certificate of incorporation and bylaws include a number of provisions that could deter hostile takeovers or delay or prevent changes in control of our board of directors or management. Among other things, our certificate of incorporation and bylaws: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for a dual class common stock structure, with differing voting rights;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permit our board of directors to issue shares of preferred stock, with any powers, rights, preferences and privileges as they may designate;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the authorized number of directors may be changed only by resolution of the board of directors;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all vacancies and newly created directorships, may, except as otherwise required by law, our governing documents or resolution of our board of directors, and subject to the rights of holders of our preferred stock, only be filled by the affirmative vote of a majority of directors then in office, even if less than a quorum, provided that vacancies occurring on our board of directors created by the removal of a director by the stockholders may also be filled by a vote of the stockholders if, at the time of such action to fill such vacancy, there is a holder of shares of Class B common stock that has voting control over at least a majority of the voting power of our outstanding shares of capital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divide our board of directors into three classes, each of which stands for election once every three years;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so long as our board of directors is classified, and subject to the rights of holders of our preferred stock, provide that a director may only be removed from the board of directors by the stockholders for cause;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require that any action to be taken by our stockholders must be effected at a duly called annual or special meeting of stockholders and not be taken by written consent, provided that at any time that a holder of shares of Class B common stock has voting control over at least a majority of the voting power of our outstanding shares of capital stock, any action required or permitted to be taken by our stockholders may be taken by written consent in accordance with the DGCL as long as our board of directors has first recommended or approved such action or our board of directors and secretary have been provided with at least 30 days’ prior written notice of such action;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provide for cumulative voting rights (therefore allowing the holders of a plurality of the shares of common stock entitled to vote in any election of directors to elect all of the directors standing for election, if they should so choose);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that special meetings of our stockholders may be called only by our board of directors, the chairperson of our board of directors, our chief executive officer or president, or a holder of shares of Class B common stock that has voting control over at least a majority of the voting power of our outstanding shares of capital stock.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Exclusive Forum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or our certificate of incorporation or bylaws or (4) any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This provision would not apply to any action brought to enforce a duty or liability created by the Exchange Act and the rules and regulations thereunder. Our bylaws also provide that, unless we consent in writing to the selection of an alternative forum, the federal district courts of the United States will be the sole and exclusive forum for resolving any complaint asserting a cause of action arising under the Securities Act of 1933, as amended. Any person or entity purchasing, holding or otherwise acquiring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transfer agent and registrar for our common stock is Fidelity Stock Transfer Solutions LLC. The transfer agent and registrar’s address is 245 Summer Street, Boston, MA 02210.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Listing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Class A common stock is listed on the Nasdaq Global Select Market under the symbol “GLOO.”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CONFIDENTIAL TREATMENT REQUESTED</w:t>
      </w:r>
    </w:p>
    <w:p>
      <w:pPr>
        <w:pStyle w:val="TextBody"/>
        <w:bidi w:val="0"/>
        <w:jc w:val="center"/>
        <w:rPr>
          <w:rFonts w:ascii="Times New Roman" w:hAnsi="Times New Roman"/>
          <w:b/>
          <w:color w:val="000000"/>
          <w:sz w:val="20"/>
        </w:rPr>
      </w:pPr>
      <w:r>
        <w:rPr>
          <w:rFonts w:ascii="Times New Roman" w:hAnsi="Times New Roman"/>
          <w:b/>
          <w:color w:val="000000"/>
          <w:sz w:val="20"/>
        </w:rPr>
        <w:t>PURSUANT TO 17 C.F.R. SECTION 200.83</w:t>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3" w:name="shares_eligible_for_future_sale"/>
      <w:bookmarkEnd w:id="13"/>
      <w:r>
        <w:rPr>
          <w:rFonts w:ascii="Times New Roman" w:hAnsi="Times New Roman"/>
          <w:color w:val="000000"/>
          <w:sz w:val="20"/>
        </w:rPr>
        <w:t>SHARES ELIGIBLE FOR FUTURE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the effect, if any, that market sales of shares of our Class A common stock or the availability of shares of our Class A common stock for sale will have on the market price of our Class A common stock prevailing from time to time. Future sales of shares of our Class A common stock in the public market, or the availability of such shares for sale in the public market, could adversely affect market prices of our Class A common stock prevailing from time to time. As described below, only a limited number of shares of our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the completion of this offering, based on our shares of our capital stock outstanding as of April 30, 2026, we will have a total of 18,405,352 shares of our Class A common stock outstanding and 69,166,937 shares of our Class B common stock outstanding, assuming no exercise of the underwriters’ option to purchase additional shares, no exercise of outstanding options or warrants, and no conversions of shares of Class B common stock into shares of Class A common stock since April 30, 2026. Of these outstanding shares, all shares of our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remaining outstanding shares of our Class A common stock (including shares issuable upon conversion of our Class B common stock), other than shares of our Class A common stock sold in our initial public offering, will be, and shares subject to stock options will be upon issuance,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Lock-Up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this offering, we and our directors and executive officers have agreed or will agree, subject to certain exceptions, not to, directly or indirectly, sell, offer to sell, contract to sell, or grant any option for the sale (including any short sale), grant any security interest in, pledge, hypothecate, hedge, establish an open “put equivalent position” (within the meaning of Rule 16a-1(h) under the Exchange Act), or otherwise dispose of, or enter into any transaction which is designed to or could be expected to result in the disposition of, any shares of our Class A common stock or securities convertible into or exchangeable for shares of our Class A common stock, or publicly announce any intention to do any of the foregoing, any shares of our common stock or securities convertible into or exchangeable or exercisable for our common stock for 90 days after the date of this prospectus without first obtaining the written consent of Citizens JMP Securities, LLC and Roth Capital Partners, LLC, the representatives of the several underwriters of this offering. The representatives of the underwriters may, in their sole discretion, release any of the securities subject to the lock-up agreements with the underwriters at any time. These agreements are described below under the section of this prospectus titled “Underwriting.”</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Rule 144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general, under Rule 144 as currently in effect,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general, under Rule 144, as currently in effect, our affiliates or persons selling shares of our Class A common stock on behalf of our affiliates are entitled to sell upon expiration of the lock-up agreements described above, within any three-month period, a number of shares that does not exceed the greater of:</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of the number of shares of our Class A common stock then outstanding, which will equal approximately 184,054 shares immediately after this offering (calculated as of April 30, 2026);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average weekly trading volume of our Class A common stock during the four calendar weeks preceding the date of filing of a notice on Form 144 with respect to the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under Rule 144 by our affiliates or persons selling shares of our Class A common stock on behalf of our affiliates are also subject to certain manner of sale provisions and notice requirements and to the availability of current public information about us.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Rule 701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general, under Rule 701 a person who purchased shares of our capital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effective date of this prospectus before selling such shares pursuant to Rule 701.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Registration Statement on Form S</w:t>
        <w:noBreakHyphen/>
        <w:t>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filed registration statements on Form S</w:t>
        <w:noBreakHyphen/>
        <w:t xml:space="preserve">8 under the Securities Act to register shares of our Class A common stock subject to options outstanding, as well as reserved for future issuance, under our equity compensation plans. Shares registered under such registration statements are eligible for sale in the public market, subject to the Rule 144 limitations applicable to affiliates, vesting restrictions and any applicable lock-up agreements.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eading1"/>
        <w:bidi w:val="0"/>
        <w:spacing w:before="240" w:after="283"/>
        <w:jc w:val="center"/>
        <w:rPr>
          <w:rFonts w:ascii="Times New Roman" w:hAnsi="Times New Roman"/>
          <w:color w:val="000000"/>
          <w:sz w:val="20"/>
        </w:rPr>
      </w:pPr>
      <w:bookmarkStart w:id="14" w:name="material_us_federal_income_tax_consider"/>
      <w:bookmarkEnd w:id="14"/>
      <w:r>
        <w:rPr>
          <w:rFonts w:ascii="Times New Roman" w:hAnsi="Times New Roman"/>
          <w:color w:val="000000"/>
          <w:sz w:val="20"/>
        </w:rPr>
        <w:t>MATERIAL U.S. FEDERAL INCOME TAX CONSIDERATIONS FOR NON</w:t>
        <w:noBreakHyphen/>
        <w:t>U.S. HOLDERS OF OUR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summary of material U.S. federal income tax considerations of the ownership and disposition of our Class A common stock acquired in this offering by a “non-U.S. holder” (as defined below) but does not purport to be a complete analysis of all the potential tax considerations relating thereto. This summary is based 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(the “IRS”), with respect to the statements made and the conclusions reached in the following summary, and there can be no assurance that the IRS or a court will agree with such statements and conclusions.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summary also does not address the tax considerations arising under the laws of any U.S. state or local or non-U.S.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banks, insurance companies, regulated investment companies, real estate investment trusts or other financial institutions;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persons subject to the alternative minimum tax;</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tax-exempt or governmental organizations;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pension plans and tax-qualified retirement plans;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controlled foreign corporations, foreign controlled foreign corporations, passive foreign investment companies and corporations that accumulate earnings to avoid U.S. federal income tax (or investors therein);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entities or arrangements classified as partnerships for U.S. federal income tax purposes or other pass through entities (or investors in such entities or arrangements);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brokers or dealers in securities or currencies;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traders in securities or other persons that elect to use a mark-to-market method of tax accounting for their securities holdings;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persons who own, or are deemed to own, more than five percent of our capital stock (except to the extent specifically set forth below);</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former citizens or long-term residents of the United States;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persons who hold our Class A common stock as a position in a hedging transaction, “straddle,” “conversion transaction,” or other risk reduction transaction or integrated investment;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persons who hold or receive our Class A common stock pursuant to the exercise of any option or otherwise as compensation;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persons who do not hold our Class A common stock as a capital asset within the meaning of Section 1221 of the Code (generally, property held for investment);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persons deemed to sell our Class A common stock under the constructive sale provisions of the Code;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persons subject to special tax accounting rules as a result of any item of gross income with respect to our Class A common stock being taken into account in an “applicable financial statement” as defined in Section 451(b) of the Code.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if a partnership (or other entity or arrangement classified as a partnership for U.S. federal income tax purposes) holds our Class A common stock, the tax treatment of a partner in the partnership generally will depend on the status of the partner and upon the activities of the partnership. A partner in a partnership that will hold our Class A common stock should consult his, her or its own tax advisor regarding the tax considerations of the purchase, ownership and disposition of our Class A common stock through a partnership.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are urged to consult your tax advisor with respect to the application of the U.S. federal income tax laws to your particular situation, as well as any tax considerations of the purchase, ownership and disposition of our Class A common stock arising under the U.S. federal gift or estate tax rules or under the laws of any U.S. state or local, non-U.S. or other taxing jurisdiction or under any applicable tax treaty.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Non</w:t>
        <w:noBreakHyphen/>
        <w:t>U.S. Holder Defined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purposes of this discussion, you are a “non-U.S. holder” if you are a beneficial owner of our Class A common stock that, for U.S. federal income tax purposes, is neither a partnership nor: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individual who is a citizen or resident of the United States;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corporation or other entity taxable as a corporation created or organized in or under the laws of the United States, any state thereof or the District of Columbia;</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estate whose income is subject to U.S. federal income tax regardless of its source;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trust (x) whose administration is subject to the primary supervision of a U.S. court and that has one or more U.S. persons (as defined in the Code) who have the authority to control all substantial decisions of the trust or (y) that has made a valid election under applicable Treasury Regulations to be treated as a U.S. person.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Distributions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described in the section titled “Dividend Policy,” we have never declared or paid cash dividends on our capital stock, and we do not anticipate paying any dividends on our Class A common stock following the completion of this offering. However, if we do make distributions on our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“Gain on Disposition of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discussions below regarding effectively connected income, backup withholding and Foreign Account Tax Compliance Act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Under applicable Treasury Regulations (or the applicable withholding agent), we may withhold up to 30% of the gross amount of the entire distribution even if the amount constituting a dividend, as described above, is less than the gross amount.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may obtain a refund of any excess amounts withheld by timely filing an appropriate claim for refund with the IRS. If you hold our Class A common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 withholding tax, generally are taxed at the U.S. federal income tax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Class A common stock, including the application of any applicable tax treaties that may provide for different rules.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Gain on Disposition of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discussions below regarding backup withholding and FATCA withholding, you generally will not be required to pay U.S. federal income tax on any gain realized upon the sale or other disposition of our Class A common stock unless: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gain is effectively connected with your conduct of a U.S. trade or business (and, if an applicable income tax treaty so provides, the gain is attributable to a permanent establishment or fixed base maintained by you in the United States);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are an individual who is present in the United States for a period or periods aggregating 183 days or more during the calendar year in which the sale or disposition occurs and certain other conditions are met;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Class A common stock constitutes a United States real property interest by reason of our status as a “United States real property holding corporation” (a “USRPHC”), for U.S. federal income tax purposes at any time within the shorter of the five-year period preceding your disposition of, or your holding period for, our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Class A common stock is regularly traded on an established securities market, your Class A common stock will be treated as U.S. real property interests only if you actually (directly or indirectly) or constructively hold more than five percent of our regularly traded common stock at any time during the shorter of the five-year period preceding your disposition of, or your holding period for, our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 are a non-U.S. holder described in the first bullet above, you generally will be required to pay tax on the gain derived from the sale (net of certain deductions and credits) under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Backup Withholding and Information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Payments of dividends on or of proceeds from the disposition of our Class A common stock made to you may be subject to backup withholding at the applicable statutory rate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Additional Withholding Requirements under the Foreign Account Tax Compliance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FATCA, including sections 1471 through 1474 of the Code and the Treasury Regulations and other official IRS guidance issued thereunder, generally imposes a U.S. federal withholding tax of 30% on dividends on, and, subject to certain proposed regulations discussed below, the gross proceeds from a sale or other disposition of, our Class A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subject to certain proposed regulations discussed below, the gross proceeds from a sale or other disposition of, our Class A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withholding obligations under FATCA generally apply to dividends on our Class A common stock and to the payment of gross proceeds of a sale or other disposition of our Class A common stock. However, the U.S. Treasury Department has issued proposed regulations that, if finalized in their present form, would eliminate FATCA withholding on gross proceeds of the sale or other disposition of our Class A common stock (but not on payments of dividends). The preamble of such proposed regulations states that they may be relied upon by taxpayers until final regulations are issued or until such proposed regulations are rescinded. If applicable, the withholding tax will apply regardless of whether the payment otherwise would be exempt from withholding tax, including under the exemptions described above. Under certain circumstances, you might be eligible for refunds or credits of such taxes. An intergovernmental agreement between the United States and your country of residence may modify the requirements described in this section. You should consult with your own tax advisors regarding the application of FATCA withholding to your investment in, and ownership and disposition of, our Class A common stock.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 preceding discussion of U.S. federal income tax considerations is for general information only. It is not tax advice to investors in their particular circumstances. You should consult your own tax advisor regarding the particular U.S. federal, state and local and non</w:t>
        <w:noBreakHyphen/>
        <w:t>U.S. tax considerations of purchasing, owning and disposing of our Class A common stock, including the consequences of any proposed change in applicable laws.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eading1"/>
        <w:bidi w:val="0"/>
        <w:spacing w:before="240" w:after="283"/>
        <w:jc w:val="center"/>
        <w:rPr>
          <w:rFonts w:ascii="Times New Roman" w:hAnsi="Times New Roman"/>
          <w:color w:val="000000"/>
          <w:sz w:val="20"/>
        </w:rPr>
      </w:pPr>
      <w:bookmarkStart w:id="15" w:name="underwriting"/>
      <w:bookmarkEnd w:id="15"/>
      <w:r>
        <w:rPr>
          <w:rFonts w:ascii="Times New Roman" w:hAnsi="Times New Roman"/>
          <w:color w:val="000000"/>
          <w:sz w:val="20"/>
        </w:rPr>
        <w:t>UNDERWRITING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entered into an underwriting agreement with the several underwriters listed in the table below, with Citizens JMP Securities, LLC and Roth Capital Partners, LLC acting as the “representatives”. Subject to the terms and conditions of the underwriting agreement, we have agreed to sell to the underwriters, and the underwriters have agreed to purchase from us, shares of our Class A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terms and subject to the conditions contained in the underwriting agreement, we have agreed to sell to the underwriters named below, and each underwriter severally has agreed to purchase from us, the respective number of shares of Class A common stock set forth opposite its name below:</w:t>
      </w:r>
    </w:p>
    <w:p>
      <w:pPr>
        <w:pStyle w:val="TextBody"/>
        <w:bidi w:val="0"/>
        <w:jc w:val="left"/>
        <w:rPr/>
      </w:pPr>
      <w:r>
        <w:rPr/>
        <w:t> </w:t>
      </w:r>
    </w:p>
    <w:tbl>
      <w:tblPr>
        <w:tblW w:w="3688" w:type="dxa"/>
        <w:jc w:val="left"/>
        <w:tblInd w:w="0" w:type="dxa"/>
        <w:tblLayout w:type="fixed"/>
        <w:tblCellMar>
          <w:top w:w="28" w:type="dxa"/>
          <w:left w:w="28" w:type="dxa"/>
          <w:bottom w:w="28" w:type="dxa"/>
          <w:right w:w="28" w:type="dxa"/>
        </w:tblCellMar>
      </w:tblPr>
      <w:tblGrid>
        <w:gridCol w:w="2716"/>
        <w:gridCol w:w="146"/>
        <w:gridCol w:w="826"/>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Underwriter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Citizens JMP Securities,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Roth Capital Partners,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Benchmark Company,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Loop Capital Markets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underwriting agreement provides that the obligation of the underwriters to purchase the shares of Class A common stock offered by this prospectus is subject to certain conditions. The underwriters are obligated to purchase all of the shares of Class A common stock offered hereby if any of the shares are purchased.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granted the underwriters an option to purchase up to an additional 1,050,000 shares of Class A common stock from us at the public offering price, less the underwriting discounts and commissions, to cover over-allotments, if any. The underwriters may exercise this option at any time, in whole or in part, during the 30-day period after the date of this prospectus.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Scott Beck, Pat Gelsinger and certain other members of our board of directors and their affiliated entities have indicated their interest in purchasing at least $6.0 million in shares of our Class A common stock being offered in this offering at the public offering price. Because these indications of interest are not binding agreements or commitments to purchase, they could determine to purchase more, fewer or no shares in this offering, or we could determine to sell more, fewer or no securities to them. The underwriters will receive the same discount on any shares of Class A common stock purchased by such persons as they will on any other shares of Class A common stock sold to the public in this offering.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Discounts, Commissions and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underwriters propose to offer the shares of Class A common stock purchased pursuant to the underwriting agreement to the public at the public offering price set forth on the cover page of this prospectus and to certain dealers at that price less a concession not in excess of per share. After this offering, the public offering price and concession may be changed by the underwriters. No such change shall change the amount of proceeds to be received by us as set forth on the cover page of this prospectus.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sale of the Class A common stock to be purchased by the underwriters, the underwriters will be deemed to have received compensation in the form of underwriting commissions and discounts. The underwriters’ commissions and discounts will be of the gross proceeds of this offering, or $ per share of the Class A common stock, based on the public offering price per share set forth on the cover page of this prospectus.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also agreed to reimburse Citizens JMP Securities, LLC and Roth Capital Partners, LLC for reasonable and documented fees and expenses incurred in connection with this offering, including reasonable and documented fees and expenses of legal counsel incurred in connection with blue sky filings and registration and review of the offering by FINRA, up to $100,000 in the aggregate.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the underwriting discounts and commissions payable to the underwriters by us in connection with this offering (assuming both the exercise and non-exercise of the over-allotment option to purchase additional shares of Class A common stock we have granted to the underwriters):</w:t>
      </w:r>
    </w:p>
    <w:p>
      <w:pPr>
        <w:pStyle w:val="TextBody"/>
        <w:bidi w:val="0"/>
        <w:jc w:val="left"/>
        <w:rPr/>
      </w:pPr>
      <w:r>
        <w:rPr/>
        <w:t> </w:t>
      </w:r>
    </w:p>
    <w:tbl>
      <w:tblPr>
        <w:tblW w:w="7684" w:type="dxa"/>
        <w:jc w:val="left"/>
        <w:tblInd w:w="0" w:type="dxa"/>
        <w:tblLayout w:type="fixed"/>
        <w:tblCellMar>
          <w:top w:w="28" w:type="dxa"/>
          <w:left w:w="28" w:type="dxa"/>
          <w:bottom w:w="28" w:type="dxa"/>
          <w:right w:w="28" w:type="dxa"/>
        </w:tblCellMar>
      </w:tblPr>
      <w:tblGrid>
        <w:gridCol w:w="3871"/>
        <w:gridCol w:w="146"/>
        <w:gridCol w:w="796"/>
        <w:gridCol w:w="146"/>
        <w:gridCol w:w="796"/>
        <w:gridCol w:w="146"/>
        <w:gridCol w:w="796"/>
        <w:gridCol w:w="146"/>
        <w:gridCol w:w="84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Without</w:t>
              <w:br/>
              <w:t>Over-</w:t>
              <w:br/>
              <w:t>allotment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w:t>
              <w:br/>
              <w:t>Over-</w:t>
              <w:br/>
              <w:t>allotment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Without</w:t>
              <w:br/>
              <w:t>Over-</w:t>
              <w:br/>
              <w:t>allotment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w:t>
              <w:br/>
              <w:t>Over-</w:t>
              <w:br/>
              <w:t>allotment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offering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Underwriting discounts and commissions paid</w:t>
              <w:br/>
              <w:t>   by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Indemnification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underwriting agreement, we have agreed to indemnify the underwriters against certain liabilities, including liabilities under the Securities Act, or to contribute to payments that the underwriters or such other indemnified parties may be required to make in respect of those liabilities.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Lock-Up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agreed not to (1) offer, pledge, sell, contract to sell, sell any option or contract to purchase, purchase any option or contract to sell, grant any option, right or warrant to purchase, lend or otherwise transfer or dispose of, directly or indirectly, any shares of our capital stock (2) publicly file any registration statement with the SEC relating to the offering of any shares of our capital stock or any securities convertible into or exercisable or exchangeable for shares of our capital stock, except for registration statements on Form S-8, (3) complete any offering of our debt securities, other than entering into a line of credit with a traditional bank or (4) enter into any swap or other arrangement that transfers to another, in whole or in part, any of the economic consequences of ownership of our capital stock, without the prior written consent of Citizens JMP Securities, LLC and Roth Capital Partners, LLC for a period of 90 days following the date of this prospectus (the “Lock-up Period”). This consent may be given at any time without public notice. These restrictions on future issuances are subject to certain exceptions, including for (1) the issuance of shares of our Class A common stock sold in this offering, (2) the issuance of shares of our Class A common stock upon the exercise of outstanding options or warrants, the vesting of restricted stock awards or units and the conversion of outstanding convertible securities (including Class B common stock), (3) the issuance of shares of our Class A common stock (whether upon the exercise of stock options or otherwise) to our employees, officers, directors, advisors or consultants pursuant to our equity incentive plans, and (4) the issuance of equity securities in connection with bona fide mergers, acquisitions of securities, businesses, property or other assets, products or technologies, joint ventures, commercial relationships or other strategic transactions, provided that the aggregate number of shares of Class A common stock or convertible securities that we may sell or issue in connection therewith may not exceed 10% of the total number of shares of Class A common stock and Class B common stock together issued and outstanding, determined on a fully-diluted basis, immediately following this offering, and provided further that any recipients sign a lock-up agreement on the same terms as our directors, officers and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directors and executive officers have agreed or will agree to enter into a lock-up agreement with the underwriters. Under the lock-up agreements, the directors and executive officers may not, subject to certain exceptions, directly or indirectly, sell, offer to sell, contract to sell, or grant any option for the sale (including any short sale), grant any security interest in, pledge, hypothecate, hedge, establish an open “put equivalent position” (within the meaning of Rule 16a-1(h) under the Exchange Act), or otherwise dispose of, or enter into any transaction which is designed to or could be expected to result in the disposition of, any shares of our Class A common stock or securities convertible into or exchangeable for shares of our Class A common stock, or publicly announce any intention to do any of the foregoing, without the prior written consent of Citizens JMP Securities, LLC and Roth Capital Partners, LLC, for a period of 90 days from the date of this prospectus. This consent may be given at any time without public notice.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Electronic Distribution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prospectus may be made available in electronic format on websites or through other online services maintained by the underwriters or by their affiliates. In those cases, prospective investors may view offering terms online and prospective investors may be allowed to place orders online. Other than this prospectus in electronic format, the information on the underwriters’ websites or our website and any information contained in any other websites maintained by the underwriters or by us is not part of this prospectus or the registration statement of which this prospectus forms a part, has not been approved and/or endorsed by us or the underwriters in their capacity as underwriters, and should not be relied upon by investors.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Price Stabilization, Short Positions and Penalty Bids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offering the underwriters may engage in stabilizing transactions, over-allotment transactions, syndicate covering transactions and penalty bids in accordance with Regulation M under the Exchange Act: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Stabilizing transactions permit bids to purchase the underlying security so long as the stabilizing bids do not exceed a specified maximum.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Syndicate covering transactions involve purchases of the Class A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A naked short position occurs if the underwriters sell more shares than could be covered by the over-allotment option. This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Penalty bids permit the underwriters to reclaim a selling concession from a syndicate member when the Class A common stock originally sold by the syndicate member is purchased in a stabilizing or syndicate covering transaction to cover syndicate short positions.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stabilizing transactions, syndicate covering transactions and penalty bids may have the effect of raising or maintaining the market price of our Class A common stock or preventing or impeding a decline in the market price of the Class A common stock. As a result, the price of our Class A common stock may be higher than the price that might otherwise exist in the open market. These transactions may be discontinued at any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Neither we nor the underwriters make any representation or prediction as to the direction or magnitude of any effect that the transactions described above may have on the price of our shares of Class A common stock. In addition, neither we nor the underwriters make any representation that the underwriter will engage in these transactions or that any transaction, if commenced, will not be discontinued without notice.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Offer Restrictions Outside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This prospectus does not constitute an offer to sell or a solicitation of an offer to buy any securities offered by this prospectus in any jurisdiction in which such an offer or a solicitation is unlawful.</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Australia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(1) the offer of the securities under this prospectus is only made to persons to whom it is lawful to offer the securities without disclosure under Chapter 6D of the Australian Corporations Act under one or more exemptions set out in section 708 of the Australian Corporations Act, (2) this prospectus is made available in Australia only to those persons as set forth in clause (1) above, and (3) the offeree must be sent a notice stating in substance that by accepting this offer, the offeree represents that the offeree is such a person as set forth in clause (1) above, and, unless permitted under the Australian Corporations Act, agrees not to sell or offer for sale within Australia any of the securities sold to the offeree within 12 months after its transfer to the offeree under this prospectus.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Canada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 is not required to comply with the disclosure requirements of NI33-105 regarding underwriter conflicts of interest in connection with this offering.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China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securities may not be offered or sold directly or indirectly in the PRC to legal or natural persons other than directly to “qualified domestic institutional investors.”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European Economic Area — Belgium, Germany, Luxembourg and Netherlands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in this document has been prepared on the basis that all offers of securities will be made pursuant to an exemption under the Directive 2003/71/EC, or Prospectus Directive, as implemented in Member States of the European Economic Area, each a Relevant Member State, from the requirement to produce a prospectus for offers of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offer to the public of securities has not been made, and may not be made, in a Relevant Member State except pursuant to one of the following exemptions under the Prospectus Directive as implemented in that Relevant Member State: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legal entities that are authorized or regulated to operate in the financial markets or, if not so authorized or regulated, whose corporate purpose is solely to invest in securities;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any legal entity that has two or more of (1) an average of at least 250 employees during its last fiscal year; (2) a total balance sheet of more than €43,000,000 (as shown on its last annual unconsolidated or consolidated financial statements); and (3) an annual net turnover of more than €50,000,000 (as shown on its last annual unconsolidated or consolidated financial statements);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fewer than 100 natural or legal persons (other than qualified investors within the meaning of Article 2(1)(e) of the Prospectus Directive) subject to obtaining our prior consent or any underwriter for any such offer; or</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in any other circumstances falling within Article 3(2) of the Prospectus Directive, provided that no such offer of</w:t>
      </w:r>
      <w:r>
        <w:rPr>
          <w:color w:val="000000"/>
        </w:rPr>
        <w:t xml:space="preserve"> </w:t>
      </w:r>
      <w:r>
        <w:rPr>
          <w:rFonts w:ascii="Times New Roman" w:hAnsi="Times New Roman"/>
          <w:color w:val="000000"/>
          <w:sz w:val="20"/>
        </w:rPr>
        <w:t>securities shall require us to publish a prospectus pursuant to Article 3 of the Prospectus Directive.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France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document is not being distributed in the context of a public offering of financial securities (offre au public de titres financiers) in France within the meaning of Article L.411-1 of the French Monetary and Financial Code (Code monétaire et financier) and Articles 211-1 et seq. of the General Regulation of the French Autorité des marchés financiers, or AMF. The securities have not been offered or sold and will not be offered or sold, directly or indirectly, to the public in France.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document and any other offering material relating to the securities have not been, and will not be, submitted to the AMF for approval in France and, accordingly, may not be distributed or caused to distributed, directly or indirectly, to the public in France.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Such offers, sales and distributions have been and shall only be made in France to (1) qualified investors (investisseurs qualifiés) acting for their own account, as defined in and in accordance with Articles L.411-2-II-2 and D.411-1 to D.411-3, D. 744-1, D.754-1 and D.764-1 of the French Monetary and Financial Code and any implementing regulation and/or (2) a restricted number of non-qualified investors (cercle restreint d’investisseurs) acting for their own account, as defined in and in accordance with Articles L.411-2-II-2° and D.411-4, D.744-1, D.754-1 and D.764-1 of the French Monetary and Financial Code and any implementing regulation.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Ireland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Prospectus Regulations). The securities have not been offered or sold, and will not be offered, sold or delivered directly or indirectly in Ireland by way of a public offering, except to (1) qualified investors as defined in Regulation 2(l) of the Prospectus Regulations and (2) fewer than 100 natural or legal persons who are not qualified investors.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Israel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securities offered by this prospectus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this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effected only in compliance with the Israeli securities laws and regulations.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Italy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offering of the securities in the Republic of Italy has not been authorized by the Italian Securities and Exchange Commission (Commissione Nazionale per le Società e la Borsa, or “CONSOB”) pursuant to the Italian securities legislation and, accordingly, no offering material relating to the securities may be distributed in Italy and such securities may not be offered or sold in Italy in a public offer within the meaning of Article 1.1(t) of Legislative Decree No. 58 of 24 February 1998 (“Decree No. 58”), other than: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Italian qualified investors, as defined in Article 100 of Decree no. 58 by reference to Article 34-ter of CONSOB Regulation no. 11971 of 14 May 1999, or Regulation no. 1197l as amended, or Qualified Investors;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other circumstances that are exempt from the rules on public offer pursuant to Article 100 of Decree No. 58 and Article 34-ter of Regulation No. 11971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offer, sale or delivery of the securities or distribution of any offer document relating to the securities in Italy (excluding placements where a Qualified Investor solicits an offer from the issuer) under the paragraphs above must be: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compliance with all relevant Italian securities, tax and exchange controls and any other applicable laws.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subsequent distribution of the securities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securities for any damages suffered by the investors.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Japan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New Zealand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shares of Class A common stock offered hereby have not been offered or sold, and will not be offered or sold, directly or indirectly in New Zealand and no offering materials or advertisements have been or will be distributed in relation to any offer of shares in New Zealand, in each case other than: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persons whose principal business is the investment of money or who, in the course of and for the purposes of their business, habitually invest money;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persons who in all the circumstances can properly be regarded as having been selected otherwise than as members of the public;</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persons who are each required to pay a minimum subscription price of at least NZ$500,000 for the shares before the allotment of those shares (disregarding any amounts payable, or paid, out of money lent by the issuer or any associated person of the issuer);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other circumstances where there is no contravention of the Securities Act 1978 of New Zealand (or any statutory modification or reenactment of, or statutory substitution for, the Securities Act 1978 of New Zealand).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Portugal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document is not being distributed in the context of a public offer of financial securities (oferta pública de valores mobiliários) in Portugal, within the meaning of Article 109 of the Portuguese Securities Code (Código dos Valores Mobiliários). The securities have not been offered or sold and will not be offered or sold, directly or indirectly, to the public in Portugal. This document and any other offering material relating to the securities have not been, and will not be, submitted to the Portuguese Securities Market Commission (Comissăo do Mercado de Valores Mobiliários)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“qualified investors” (as defined in the Portuguese Securities Code). Only such investors may receive this document and they may not distribute it or the information contained in it to any other person.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Sweden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document has not been, and will not be, registered with or approved by Finansinspektionen (the Swedish Financial Supervisory Authority). Accordingly, this document may not be made available, nor may the securities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offered for sale in Sweden, other than under circumstances that are deemed not to require a prospectus under the Swedish Financial Instruments Trading Act (1991:980) (Sw. lag (1991:980) om handel med finansiella instrument). Any offering of securities in Sweden is limited to persons who are “qualified investors” (as defined in the Financial Instruments Trading Act). Only such investors may receive this document and they may not distribute it or the information contained in it to any other person.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Switzerland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document is personal to the recipient only and not for general circulation in Switzerland.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United Arab Emirates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Neither this document nor the securities have been approved, disapproved or passed on in any way by the Central Bank of the United Arab Emirates or any other governmental authority in the United Arab Emirates, nor have we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We may not render services relating to the securities within the United Arab Emirates, including the receipt of applications and/or the allotment or redemption of such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offer or invitation to subscribe for securities is valid or permitted in the Dubai International Financial Centre.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United Kingdom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or “FSMA”)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Kingdom, this document is being distributed only to, and is directed at, persons (1) who have professional experience in matters relating to investments falling within Article 19(5) (investment professionals) of the Financial Services and Markets Act 2000 (Financial Promotions) Order 2005, or FPO, (2) who fall within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categories of persons referred to in Article 49(2)(a) to (d) (high net worth companies, unincorporated associations, etc.) of the FPO or (3)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eading1"/>
        <w:bidi w:val="0"/>
        <w:spacing w:before="240" w:after="283"/>
        <w:jc w:val="center"/>
        <w:rPr>
          <w:rFonts w:ascii="Times New Roman" w:hAnsi="Times New Roman"/>
          <w:color w:val="000000"/>
          <w:sz w:val="20"/>
        </w:rPr>
      </w:pPr>
      <w:bookmarkStart w:id="16" w:name="legal_matters"/>
      <w:bookmarkEnd w:id="16"/>
      <w:r>
        <w:rPr>
          <w:rFonts w:ascii="Times New Roman" w:hAnsi="Times New Roman"/>
          <w:color w:val="000000"/>
          <w:sz w:val="20"/>
        </w:rPr>
        <w:t>LEGAL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Wilson Sonsini Goodrich &amp; Rosati, Professional Corporation, Boulder, Colorado, which has acted as our counsel in connection with this offering, will pass upon the validity of the shares of our Class A common stock being offered by this prospectus. Reed Smith LLP, Houston, Texas, is acting as counsel for the underwriters.</w:t>
      </w:r>
    </w:p>
    <w:p>
      <w:pPr>
        <w:pStyle w:val="Heading1"/>
        <w:bidi w:val="0"/>
        <w:spacing w:before="240" w:after="283"/>
        <w:jc w:val="center"/>
        <w:rPr>
          <w:rFonts w:ascii="Times New Roman" w:hAnsi="Times New Roman"/>
          <w:color w:val="000000"/>
          <w:sz w:val="20"/>
        </w:rPr>
      </w:pPr>
      <w:bookmarkStart w:id="17" w:name="experts"/>
      <w:bookmarkEnd w:id="17"/>
      <w:r>
        <w:rPr>
          <w:rFonts w:ascii="Times New Roman" w:hAnsi="Times New Roman"/>
          <w:color w:val="000000"/>
          <w:sz w:val="20"/>
        </w:rPr>
        <w:t>EXPERTS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consolidated financial statements of Gloo Holdings, Inc. incorporated in this prospectus by reference to the Annual Report on Form 10-K for the year ended January 31, 2026, have been so incorporated in reliance on the report of Crowe LLP, an independent registered public accounting firm, given on the authority of said firm as experts in auditing and accounting.</w:t>
      </w:r>
    </w:p>
    <w:p>
      <w:pPr>
        <w:pStyle w:val="Heading1"/>
        <w:bidi w:val="0"/>
        <w:spacing w:before="240" w:after="283"/>
        <w:jc w:val="center"/>
        <w:rPr>
          <w:rFonts w:ascii="Times New Roman" w:hAnsi="Times New Roman"/>
          <w:color w:val="000000"/>
          <w:sz w:val="20"/>
        </w:rPr>
      </w:pPr>
      <w:bookmarkStart w:id="18" w:name="where_you_can_find_additional_informatio"/>
      <w:bookmarkEnd w:id="18"/>
      <w:r>
        <w:rPr>
          <w:rFonts w:ascii="Times New Roman" w:hAnsi="Times New Roman"/>
          <w:color w:val="000000"/>
          <w:sz w:val="20"/>
        </w:rPr>
        <w:t>WHERE YOU CAN FIND ADDITIONAL INFORMATION</w:t>
      </w:r>
    </w:p>
    <w:p>
      <w:pPr>
        <w:pStyle w:val="TextBody"/>
        <w:bidi w:val="0"/>
        <w:spacing w:before="240" w:after="283"/>
        <w:jc w:val="both"/>
        <w:rPr>
          <w:rFonts w:ascii="Times New Roman" w:hAnsi="Times New Roman"/>
          <w:sz w:val="20"/>
        </w:rPr>
      </w:pPr>
      <w:r>
        <w:rPr>
          <w:rFonts w:ascii="Times New Roman" w:hAnsi="Times New Roman"/>
          <w:color w:val="000000"/>
          <w:sz w:val="20"/>
        </w:rPr>
        <w:t>We have filed with the SEC a registration statement on Form S</w:t>
        <w:noBreakHyphen/>
        <w:t xml:space="preserve">1 under the Securities Act with respect to the shares of our Class A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Class A common stock, we refer you to the registration statement, including the exhibits and schedules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at </w:t>
      </w:r>
      <w:r>
        <w:rPr>
          <w:rFonts w:ascii="Times New Roman" w:hAnsi="Times New Roman"/>
          <w:i/>
          <w:color w:val="000000"/>
          <w:sz w:val="20"/>
        </w:rPr>
        <w:t>www.sec.gov</w:t>
      </w:r>
      <w:r>
        <w:rPr>
          <w:rFonts w:ascii="Times New Roman" w:hAnsi="Times New Roman"/>
          <w:color w:val="000000"/>
          <w:sz w:val="20"/>
        </w:rPr>
        <w:t xml:space="preserve"> that contains reports, proxy and information statements and other information about issuers, like us, that file electronically with the SEC.</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are subject to the information and reporting requirements of the Exchange Act and, in accordance with this law, file periodic reports, proxy statements and other information with the SEC. We also maintain a website at </w:t>
      </w:r>
      <w:r>
        <w:rPr>
          <w:rFonts w:ascii="Times New Roman" w:hAnsi="Times New Roman"/>
          <w:i/>
          <w:color w:val="000000"/>
          <w:sz w:val="20"/>
        </w:rPr>
        <w:t>www.gloo.com</w:t>
      </w:r>
      <w:r>
        <w:rPr>
          <w:rFonts w:ascii="Times New Roman" w:hAnsi="Times New Roman"/>
          <w:color w:val="000000"/>
          <w:sz w:val="20"/>
        </w:rPr>
        <w:t>. You may access these materials free of charge as soon as reasonably practicable after they are electronically filed with, or furnished to, the SEC. Information contained on our website is not a part of or incorporated by reference into this prospectus and the inclusion of our website address in this prospectus is an inactive textual reference only.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eading1"/>
        <w:bidi w:val="0"/>
        <w:spacing w:before="240" w:after="283"/>
        <w:jc w:val="center"/>
        <w:rPr>
          <w:rFonts w:ascii="Times New Roman" w:hAnsi="Times New Roman"/>
          <w:color w:val="000000"/>
          <w:sz w:val="20"/>
        </w:rPr>
      </w:pPr>
      <w:bookmarkStart w:id="19" w:name="incorporation_of_certain_information"/>
      <w:bookmarkEnd w:id="19"/>
      <w:r>
        <w:rPr>
          <w:rFonts w:ascii="Times New Roman" w:hAnsi="Times New Roman"/>
          <w:color w:val="000000"/>
          <w:sz w:val="20"/>
        </w:rPr>
        <w:t>INCORPORATION OF CERTAIN INFORMATION BY REFERENCE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SEC allows us to “incorporate by reference” information from other documents that we file,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and the registration statement of which this prospectus is a part of the information or documents listed below that we have filed with the SEC (File No. 001-42964): </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 xml:space="preserve">our Annual Report on Form 10-K for the year ended January 31, 2026, filed with the SEC on </w:t>
      </w:r>
      <w:hyperlink r:id="rId3">
        <w:r>
          <w:rPr>
            <w:rStyle w:val="InternetLink"/>
            <w:rFonts w:ascii="Times New Roman" w:hAnsi="Times New Roman"/>
            <w:color w:val="0000FF"/>
            <w:sz w:val="20"/>
            <w:u w:val="single"/>
          </w:rPr>
          <w:t>April 15, 2026</w:t>
        </w:r>
      </w:hyperlink>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 xml:space="preserve">our Definitive Proxy Statement on Schedule 14A filed with the SEC on </w:t>
      </w:r>
      <w:hyperlink r:id="rId4">
        <w:r>
          <w:rPr>
            <w:rStyle w:val="InternetLink"/>
            <w:rFonts w:ascii="Times New Roman" w:hAnsi="Times New Roman"/>
            <w:color w:val="0000FF"/>
            <w:sz w:val="20"/>
            <w:u w:val="single"/>
          </w:rPr>
          <w:t>May 27, 2026</w:t>
        </w:r>
      </w:hyperlink>
      <w:r>
        <w:rPr>
          <w:rFonts w:ascii="Times New Roman" w:hAnsi="Times New Roman"/>
          <w:color w:val="000000"/>
          <w:sz w:val="20"/>
        </w:rPr>
        <w:t>;</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 xml:space="preserve">our Quarterly Report on Form 10-Q for the quarter ended April 30, 2026, filed with the SEC on </w:t>
      </w:r>
      <w:hyperlink r:id="rId5">
        <w:r>
          <w:rPr>
            <w:rStyle w:val="InternetLink"/>
            <w:rFonts w:ascii="Times New Roman" w:hAnsi="Times New Roman"/>
            <w:color w:val="0000FF"/>
            <w:sz w:val="20"/>
            <w:u w:val="single"/>
          </w:rPr>
          <w:t>June 9, 2026</w:t>
        </w:r>
      </w:hyperlink>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 xml:space="preserve">our Current Reports on Form 8-K filed with the SEC on </w:t>
      </w:r>
      <w:hyperlink r:id="rId6">
        <w:r>
          <w:rPr>
            <w:rStyle w:val="InternetLink"/>
            <w:rFonts w:ascii="Times New Roman" w:hAnsi="Times New Roman"/>
            <w:color w:val="0000FF"/>
            <w:sz w:val="20"/>
            <w:u w:val="single"/>
          </w:rPr>
          <w:t>April 14, 2026</w:t>
        </w:r>
      </w:hyperlink>
      <w:r>
        <w:rPr>
          <w:color w:val="000000"/>
        </w:rPr>
        <w:t xml:space="preserve"> </w:t>
      </w:r>
      <w:r>
        <w:rPr>
          <w:rFonts w:ascii="Times New Roman" w:hAnsi="Times New Roman"/>
          <w:color w:val="000000"/>
          <w:sz w:val="20"/>
        </w:rPr>
        <w:t xml:space="preserve">and </w:t>
      </w:r>
      <w:hyperlink r:id="rId7">
        <w:r>
          <w:rPr>
            <w:rStyle w:val="InternetLink"/>
            <w:rFonts w:ascii="Times New Roman" w:hAnsi="Times New Roman"/>
            <w:color w:val="0000FF"/>
            <w:sz w:val="20"/>
            <w:u w:val="single"/>
          </w:rPr>
          <w:t>May 4, 2026</w:t>
        </w:r>
      </w:hyperlink>
      <w:r>
        <w:rPr>
          <w:rFonts w:ascii="Times New Roman" w:hAnsi="Times New Roman"/>
          <w:color w:val="000000"/>
          <w:sz w:val="20"/>
        </w:rPr>
        <w:t xml:space="preserve">; and </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 xml:space="preserve">the description of our common stock contained in our registration statement on Form 8-A filed with the SEC on </w:t>
      </w:r>
      <w:hyperlink r:id="rId8">
        <w:r>
          <w:rPr>
            <w:rStyle w:val="InternetLink"/>
            <w:rFonts w:ascii="Times New Roman" w:hAnsi="Times New Roman"/>
            <w:color w:val="0000FF"/>
            <w:sz w:val="20"/>
            <w:u w:val="single"/>
          </w:rPr>
          <w:t>November 19, 2025</w:t>
        </w:r>
      </w:hyperlink>
      <w:r>
        <w:rPr>
          <w:rFonts w:ascii="Times New Roman" w:hAnsi="Times New Roman"/>
          <w:color w:val="000000"/>
          <w:sz w:val="20"/>
        </w:rPr>
        <w:t>, including any amendments or reports filed for the purposes of updating this description.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Notwithstanding the statements in the preceding paragraphs, no document, report or exhibit (or portion of any of the foregoing) or any other information that we have “furnished” to the SEC pursuant to the Exchange Act shall be incorporated by reference into this prospectus.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furnish without charge to you, on written or oral request, a copy of any or all of the documents incorporated by reference in this prospectus, including exhibits to these documents. You should direct any requests for documents to Gloo Holdings, Inc., 831 Pearl Street, Boulder, Colorado 80302.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also may access these filings on our website at www.gloo.com. We do not incorporate the information contained on or accessible through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pBdr>
          <w:bottom w:val="single" w:sz="18" w:space="1" w:color="000000"/>
        </w:pBdr>
        <w:bidi w:val="0"/>
        <w:jc w:val="left"/>
        <w:rPr/>
      </w:pPr>
      <w:bookmarkStart w:id="20" w:name="consolidated_balance_sheets_"/>
      <w:bookmarkEnd w:id="20"/>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8"/>
        </w:rPr>
      </w:pPr>
      <w:r>
        <w:rPr>
          <w:rFonts w:ascii="Times New Roman" w:hAnsi="Times New Roman"/>
          <w:color w:val="000000"/>
          <w:sz w:val="28"/>
        </w:rPr>
        <w:t>7,000,000 Shares</w:t>
      </w:r>
    </w:p>
    <w:p>
      <w:pPr>
        <w:pStyle w:val="TextBody"/>
        <w:bidi w:val="0"/>
        <w:jc w:val="center"/>
        <w:rPr/>
      </w:pPr>
      <w:r>
        <w:rPr/>
        <w:drawing>
          <wp:inline distT="0" distB="0" distL="0" distR="0">
            <wp:extent cx="2200275" cy="1238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2200275" cy="1238250"/>
                    </a:xfrm>
                    <a:prstGeom prst="rect">
                      <a:avLst/>
                    </a:prstGeom>
                  </pic:spPr>
                </pic:pic>
              </a:graphicData>
            </a:graphic>
          </wp:inline>
        </w:drawing>
      </w:r>
    </w:p>
    <w:p>
      <w:pPr>
        <w:pStyle w:val="TextBody"/>
        <w:bidi w:val="0"/>
        <w:jc w:val="center"/>
        <w:rPr>
          <w:rFonts w:ascii="Times New Roman" w:hAnsi="Times New Roman"/>
          <w:color w:val="000000"/>
          <w:sz w:val="28"/>
        </w:rPr>
      </w:pPr>
      <w:r>
        <w:rPr>
          <w:rFonts w:ascii="Times New Roman" w:hAnsi="Times New Roman"/>
          <w:color w:val="000000"/>
          <w:sz w:val="28"/>
        </w:rPr>
        <w:t>Gloo Holdings, Inc.</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Class A Common Stock</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left"/>
        <w:rPr/>
      </w:pPr>
      <w:r>
        <w:rPr/>
        <w:t> </w:t>
      </w:r>
    </w:p>
    <w:tbl>
      <w:tblPr>
        <w:tblW w:w="6047" w:type="dxa"/>
        <w:jc w:val="left"/>
        <w:tblInd w:w="0" w:type="dxa"/>
        <w:tblLayout w:type="fixed"/>
        <w:tblCellMar>
          <w:top w:w="28" w:type="dxa"/>
          <w:left w:w="28" w:type="dxa"/>
          <w:bottom w:w="28" w:type="dxa"/>
          <w:right w:w="28" w:type="dxa"/>
        </w:tblCellMar>
      </w:tblPr>
      <w:tblGrid>
        <w:gridCol w:w="3166"/>
        <w:gridCol w:w="2881"/>
      </w:tblGrid>
      <w:tr>
        <w:trPr/>
        <w:tc>
          <w:tcPr>
            <w:tcW w:w="316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604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7"/>
              </w:rPr>
            </w:pPr>
            <w:r>
              <w:rPr>
                <w:rFonts w:ascii="Times New Roman" w:hAnsi="Times New Roman"/>
                <w:i/>
                <w:color w:val="000000"/>
                <w:sz w:val="17"/>
              </w:rPr>
              <w:t>Joint Book-Running Managers</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rPr>
            </w:pPr>
            <w:r>
              <w:rPr>
                <w:rFonts w:ascii="Times New Roman" w:hAnsi="Times New Roman"/>
                <w:b/>
                <w:color w:val="000000"/>
                <w:sz w:val="28"/>
              </w:rPr>
              <w:t>Citizens Capital Markets</w:t>
            </w:r>
          </w:p>
        </w:tc>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8"/>
              </w:rPr>
            </w:pPr>
            <w:r>
              <w:rPr>
                <w:rFonts w:ascii="Times New Roman" w:hAnsi="Times New Roman"/>
                <w:b/>
                <w:color w:val="000000"/>
                <w:sz w:val="28"/>
              </w:rPr>
              <w:t>Roth Capital Partners</w:t>
            </w:r>
          </w:p>
        </w:tc>
      </w:tr>
      <w:tr>
        <w:trPr/>
        <w:tc>
          <w:tcPr>
            <w:tcW w:w="604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7"/>
              </w:rPr>
            </w:pPr>
            <w:r>
              <w:rPr>
                <w:rFonts w:ascii="Times New Roman" w:hAnsi="Times New Roman"/>
                <w:i/>
                <w:color w:val="000000"/>
                <w:sz w:val="17"/>
              </w:rPr>
              <w:t>Co-Managers</w:t>
            </w:r>
          </w:p>
        </w:tc>
      </w:tr>
      <w:tr>
        <w:trPr/>
        <w:tc>
          <w:tcPr>
            <w:tcW w:w="3166"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b/>
                <w:color w:val="000000"/>
                <w:sz w:val="19"/>
              </w:rPr>
            </w:pPr>
            <w:r>
              <w:rPr>
                <w:rFonts w:ascii="Times New Roman" w:hAnsi="Times New Roman"/>
                <w:b/>
                <w:color w:val="000000"/>
                <w:sz w:val="19"/>
              </w:rPr>
              <w:t>Benchmark</w:t>
            </w:r>
          </w:p>
          <w:p>
            <w:pPr>
              <w:pStyle w:val="TableContents"/>
              <w:bidi w:val="0"/>
              <w:spacing w:before="40" w:after="283"/>
              <w:jc w:val="center"/>
              <w:rPr>
                <w:rFonts w:ascii="Times New Roman" w:hAnsi="Times New Roman"/>
                <w:color w:val="000000"/>
                <w:sz w:val="19"/>
              </w:rPr>
            </w:pPr>
            <w:r>
              <w:rPr>
                <w:rFonts w:ascii="Times New Roman" w:hAnsi="Times New Roman"/>
                <w:color w:val="000000"/>
                <w:sz w:val="19"/>
              </w:rPr>
              <w:t>a StoneX Company</w:t>
            </w:r>
          </w:p>
        </w:tc>
        <w:tc>
          <w:tcPr>
            <w:tcW w:w="2881"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b/>
                <w:color w:val="000000"/>
                <w:sz w:val="19"/>
              </w:rPr>
            </w:pPr>
            <w:r>
              <w:rPr>
                <w:rFonts w:ascii="Times New Roman" w:hAnsi="Times New Roman"/>
                <w:b/>
                <w:color w:val="000000"/>
                <w:sz w:val="19"/>
              </w:rPr>
              <w:t>Loop Capital Markets</w:t>
            </w:r>
          </w:p>
        </w:tc>
      </w:tr>
    </w:tbl>
    <w:p>
      <w:pPr>
        <w:pStyle w:val="TextBody"/>
        <w:bidi w:val="0"/>
        <w:jc w:val="left"/>
        <w:rPr/>
      </w:pPr>
      <w:r>
        <w:rPr/>
        <w:t> </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center"/>
        <w:rPr>
          <w:rFonts w:ascii="Times New Roman" w:hAnsi="Times New Roman"/>
          <w:b/>
          <w:color w:val="000000"/>
          <w:sz w:val="20"/>
        </w:rPr>
      </w:pPr>
      <w:bookmarkStart w:id="21" w:name="partii_information_not_required"/>
      <w:bookmarkEnd w:id="21"/>
      <w:r>
        <w:rPr>
          <w:rFonts w:ascii="Times New Roman" w:hAnsi="Times New Roman"/>
          <w:b/>
          <w:color w:val="000000"/>
          <w:sz w:val="20"/>
        </w:rPr>
        <w:t>INFORMATION NOT REQUIRED IN PROSPECTUS</w:t>
      </w:r>
    </w:p>
    <w:p>
      <w:pPr>
        <w:pStyle w:val="TextBody"/>
        <w:bidi w:val="0"/>
        <w:spacing w:before="240" w:after="283"/>
        <w:jc w:val="both"/>
        <w:rPr>
          <w:rFonts w:ascii="Times New Roman" w:hAnsi="Times New Roman"/>
          <w:sz w:val="20"/>
        </w:rPr>
      </w:pPr>
      <w:r>
        <w:rPr>
          <w:rFonts w:ascii="Times New Roman" w:hAnsi="Times New Roman"/>
          <w:b/>
          <w:color w:val="000000"/>
          <w:sz w:val="20"/>
        </w:rPr>
        <w:t>Item 13. Other Expenses of Issuance and Distribution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all expenses to be paid by us in connection with this registration statement and the listing of our Class A common stock, other than underwriting discounts and commissions. All amounts shown are estimates except for the SEC registration fee and the Financial Industry Regulatory Authority (“FINRA”) filing fee.</w:t>
      </w:r>
    </w:p>
    <w:p>
      <w:pPr>
        <w:pStyle w:val="TextBody"/>
        <w:bidi w:val="0"/>
        <w:jc w:val="left"/>
        <w:rPr/>
      </w:pPr>
      <w:r>
        <w:rPr/>
        <w:t> </w:t>
      </w:r>
    </w:p>
    <w:tbl>
      <w:tblPr>
        <w:tblW w:w="4391" w:type="dxa"/>
        <w:jc w:val="left"/>
        <w:tblInd w:w="0" w:type="dxa"/>
        <w:tblLayout w:type="fixed"/>
        <w:tblCellMar>
          <w:top w:w="28" w:type="dxa"/>
          <w:left w:w="28" w:type="dxa"/>
          <w:bottom w:w="28" w:type="dxa"/>
          <w:right w:w="28" w:type="dxa"/>
        </w:tblCellMar>
      </w:tblPr>
      <w:tblGrid>
        <w:gridCol w:w="2566"/>
        <w:gridCol w:w="146"/>
        <w:gridCol w:w="211"/>
        <w:gridCol w:w="146"/>
        <w:gridCol w:w="931"/>
        <w:gridCol w:w="3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 xml:space="preserve">Paid or </w:t>
              <w:br/>
              <w:t>to be Paid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 registration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FINRA filing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fees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fees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Miscellaneous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14. Indemnification of Directors and Officers</w:t>
      </w:r>
    </w:p>
    <w:p>
      <w:pPr>
        <w:pStyle w:val="TextBody"/>
        <w:bidi w:val="0"/>
        <w:spacing w:before="240" w:after="283"/>
        <w:jc w:val="both"/>
        <w:rPr>
          <w:rFonts w:ascii="Times New Roman" w:hAnsi="Times New Roman"/>
          <w:color w:val="000000"/>
          <w:sz w:val="20"/>
        </w:rPr>
      </w:pPr>
      <w:bookmarkStart w:id="22" w:name="t0"/>
      <w:bookmarkEnd w:id="22"/>
      <w:r>
        <w:rPr>
          <w:rFonts w:ascii="Times New Roman" w:hAnsi="Times New Roman"/>
          <w:color w:val="000000"/>
          <w:sz w:val="20"/>
        </w:rPr>
        <w:t>Section 145 of the DGCL authorizes a corporation’s board of directors to grant, and authorizes a court to award, indemnity to officers, directors and other corporate agents.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provisions in our certificate of incorporation that limit the liability of our directors and certain of our officers for monetary damages to the fullest extent permitted by the DGCL. Consequently, our directors will not be personally liable to us or our stockholders for monetary damages for any breach of fiduciary duties as directors, except liability for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breach of their duty of loyalty to us or our stockholders;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unlawful payments of dividends or unlawful stock repurchases or redemptions as provided in Section 174 of the DGCL;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transaction from which they derived an improper personal 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Similarly, our officers who at the time of an act or omission as to which liability is asserted consented to or are deemed to have consented to certain service of process rules under Delaware law will not be personally liable to us or our stockholders for monetary damages for any breach of fiduciary duties as officers, except for liability in connection with:</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breach of their duty of loyalty to us or our stockholders;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act or omission not in good faith or that involves intentional misconduct or a knowing violation of law;</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transaction from which they derived an improper personal benefit;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action by or in the right of the corporation.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or officers of corporations, then the personal liability of our directors and officers will be further limited to the greatest extent permitted by the DGCL.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bylaws provide that we will indemnify our directors and officers, and may indemnify our employees, agents and any other persons, to the fullest extent permitted by the DGCL. Our bylaws will also provide that we must advance expenses incurred by or on behalf of a director or officer in advance of the final disposition of any action or proceeding, subject to limited exceptions.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we have entered into indemnification agreements with each of our directors and executive officers that may be broader than the specific indemnification provisions contained in the Delaware General Corporation Law. These indemnification agreements will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limitation of liability and indemnification provisions that are included in our certificate of incorporation, bylaws and indemnification agreements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our directors and officers as required by these indemnification provisions. At present, we are not aware of any pending litigation or proceeding involving any person who is or was one of our directors or officers, or is or was one of our directors or officers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maintain insurance policies under which our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our directors or officers. The coverage provided by these policies may apply whether or not we would have the power to indemnify such person against such liability under the provisions of the Delaware General Corporation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of our non-employee directors may, through their relationships with their employers, be insured and/or indemnified against certain liabilities incurred in their capacity as members of our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underwriting agreement filed as Exhibit 1.1 to this registration statement will provide for indemnification by the underwriters of us and our officers and directors for certain liabilities arising under the Securities Act of 1933, as amended, or the Securities Act, or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15. Recent Sales of Unregistered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list sets forth information regarding all unregistered securities sold by us since May 9, 2025, the date we were incorporated. No underwriters were involved in the sales and the certificates representing the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sold and issued contain legends restricting transfer of the securities without registration under the Securities Act or an applicable exemption from registration.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May 9, 2025, Gloo Holdings, Inc. issued 1,000 shares of its common stock to Gloo Holdings, LLC for $0.001 per share in cash. The issuance of such shares of common stock was not registered under the Securities Act because the shares were offered and sold in a transaction exempt from registration under Section 4(a)(2) of the Securities Act.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November 19, 2025, as part of the Corporate Reorganization, we issued (1) 38,822,616 shares of Class B common stock in exchange for 116,468,006 Series A preferred units of Gloo Holdings, LLC; (2) 8,345,221 shares of our Class B common stock in exchange for 25,035,689 common units of Gloo Holdings, LLC; and (3) 29,649 shares of our Class B common stock in exchange for 7,490,000 incentive units of Gloo Incentives, LLC. These issuances that were part of the Corporate Reorganization were exempt from registration in reliance on Section 4(a)(2) of the Securities Act and Rule 506 promulgated thereunder.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closing of our IPO, the Senior Secured Convertible Notes automatically converted into shares of Class B common stock. Pursuant to the terms of the Senior Secured Convertible Notes, all outstanding accrued and unpaid interest owed under the Senior Secured Convertible Notes was to convert into Class B common stock immediately prior to the closing of the IPO. An aggregate of $143.1 million of outstanding principal and accrued interest under the A&amp;R Senior Secured Note was converted to Class B common stock on November 20, 2025, resulting in the issuance of an aggregate of 22,363,700 shares of our Class B common stock, based on a conversion price of $6.40 per share, as set forth in the Senior Secured Convertible Notes. These issuances that were part of the Notes Conversion were exempt from registration in reliance on Section 4(a)(2) of the Securities Act and Rule 506 promulgated thereunder.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November 18, 2025, we granted stock options to purchase an aggregate of 7,649,678 shares of our Class A common stock to certain directors, executive officers, employees and other service providers under our 2025 Equity Incentive Plan, at an exercise price of $8.00 per share. These equity plan-related issuances were exempt from registration in reliance on Section 4(a)(2) of the Securities Act or Rule 701 promulgated under Section 3(b) of the Securities Act.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November 19, 2025, we issued 346,244 shares of our Class A common stock to XRI, pursuant to a securities purchase agreement by and among the Company, Gloo Holdings, LLC, XRI and Daniel Wilson dated August 30, 2025, as amended on November 19, 2025. This issuance was exempt from registration in reliance on Section 4(a)(2) of the Securities Act and Rule 506 promulgated thereunder.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January 2, 2026, we issued 1,159,264 shares of our Class A common stock to Westfall Group, pursuant to an agreement and plan of merger by and between the Company and Westfall Group dated December 15, 2025. This issuance was exempt from registration in reliance on Section 4(a)(2) of the Securities Act and Rule 506 promulgated thereunder.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w:t>
      </w:r>
    </w:p>
    <w:p>
      <w:pPr>
        <w:pStyle w:val="TextBody"/>
        <w:bidi w:val="0"/>
        <w:jc w:val="both"/>
        <w:rPr>
          <w:rFonts w:ascii="Times New Roman" w:hAnsi="Times New Roman"/>
          <w:color w:val="000000"/>
          <w:sz w:val="20"/>
        </w:rPr>
      </w:pPr>
      <w:r>
        <w:rPr>
          <w:rFonts w:ascii="Times New Roman" w:hAnsi="Times New Roman"/>
          <w:color w:val="000000"/>
          <w:sz w:val="20"/>
        </w:rPr>
        <w:t>On May 1, 2026, we issued 1,536,198 shares of our Class A common stock to WDMarketdesk, LLC (“Enterprisemarketdesk”) pursuant to an asset purchase agreement by and among the Company, Enterprisemarketdesk and Alan Corbeil dated April 12, 2026. This issuance was exempt from registration in reliance on Section 4(a)(2) of the Securities Act and Rule 506 promulgated thereunder.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16. Exhibits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Exhibits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the Exhibit Index immediately preceding the signature page hereto for a list of exhibits filed as part of this registration statement on Form S-1, which Exhibit Index is incorporated herein by reference.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 Financial Statement Schedules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financial statement schedules are omitted because the information called for is not required or is incorporated by reference.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17. Undertakings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registrant hereby undertakes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pPr>
      <w:r>
        <w:rPr>
          <w:rFonts w:ascii="Times New Roman" w:hAnsi="Times New Roman"/>
          <w:color w:val="000000"/>
          <w:sz w:val="20"/>
        </w:rPr>
        <w:t>For the purpose of determining any liability under the Securities Act, each post</w:t>
        <w:noBreakHyphen/>
        <w:t xml:space="preserve">effective amendment that contains a form of prospectus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color w:val="000000"/>
        </w:rPr>
        <w:t xml:space="preserve"> </w:t>
      </w:r>
      <w:r>
        <w:rPr>
          <w:rFonts w:ascii="Times New Roman" w:hAnsi="Times New Roman"/>
          <w:color w:val="000000"/>
          <w:sz w:val="20"/>
        </w:rPr>
        <w:t>offering thereof.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5791"/>
        <w:gridCol w:w="586"/>
        <w:gridCol w:w="909"/>
        <w:gridCol w:w="777"/>
        <w:gridCol w:w="1185"/>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9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909"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shd w:fill="FFFFFF" w:val="clear"/>
            <w:vAlign w:val="center"/>
          </w:tcPr>
          <w:p>
            <w:pPr>
              <w:pStyle w:val="TableContents"/>
              <w:bidi w:val="0"/>
              <w:spacing w:before="0" w:after="283"/>
              <w:jc w:val="left"/>
              <w:rPr>
                <w:sz w:val="4"/>
                <w:szCs w:val="4"/>
              </w:rPr>
            </w:pPr>
            <w:r>
              <w:rPr>
                <w:sz w:val="4"/>
                <w:szCs w:val="4"/>
              </w:rPr>
            </w:r>
          </w:p>
        </w:tc>
        <w:tc>
          <w:tcPr>
            <w:tcW w:w="1185"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2272"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18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Filed/Furnished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Herewith</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909"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c>
          <w:tcPr>
            <w:tcW w:w="11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w:anchor="gloo-ex1_1.htm">
              <w:r>
                <w:rPr>
                  <w:rStyle w:val="InternetLink"/>
                  <w:rFonts w:ascii="Times New Roman" w:hAnsi="Times New Roman"/>
                  <w:color w:val="0000FF"/>
                  <w:sz w:val="20"/>
                  <w:u w:val="single"/>
                </w:rPr>
                <w:t>Form of Underwriting Agreement</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Amended and Restated Certificate of Incorporation of Gloo Holdings, Inc.</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001-42964</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12/23/2025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Bylaws of Gloo Holdings, Inc.</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001-42964</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12/23/2025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Amended and Restated Unit Warrant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w:anchor="gloo-ex5_1.htm">
              <w:r>
                <w:rPr>
                  <w:rStyle w:val="InternetLink"/>
                  <w:rFonts w:ascii="Times New Roman" w:hAnsi="Times New Roman"/>
                  <w:color w:val="0000FF"/>
                  <w:sz w:val="20"/>
                  <w:u w:val="single"/>
                </w:rPr>
                <w:t>Opinion of Wilson Sonsini Goodrich &amp; Rosati, Professional Corporation</w:t>
              </w:r>
            </w:hyperlink>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Director and Executive Officer Indemnification Agreement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2025 Equity Incentive Plan and related form agreements</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2025 Employee Stock Purchase Plan and related form agreements</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Gloo Holdings, LLC Membership Unit Option Plan and related form agreements</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Executive Incentive Compensation Plan</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Outside Director Compensation Policy</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Confirmatory Employment Letter by and between the registrant and Scott Beck</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Confirmatory Employment Letter by and between the registrant and Patrick Gelsinger</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Confirmatory Employment Letter by and between the registrant and Paul Seamon</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Confirmatory Employment Letter by and between the registrant and Matthew Gotschall</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Executive Change in Control and Severance Plan</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Securities Purchase Agreement among Gloo Holdings, LLC, Flourish Holdings, Inc., Midwestern Interactive, LLC and Matthew S. Johnson, dated as of January 3, 2025</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Note Purchase Agreement among Gloo Holdings, LLC, and certain parties thereto, dated as of April 23, 2024, as amended January 3, 2025</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Amended and Restated Note Purchase Agreement among Gloo Holdings, LLC, and certain parties thereto, dated as of June 23, 2025</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First Amendment to Amended and Restated Note Purchase Agreement among Gloo Holdings, LLC and certain parties thereto, dated as of September 5, 2025</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Omnibus Amendment to Amended and Restated Note Purchase Agreement and Secured Promissory Notes, dated as of October 23, 2025</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Amended and Restated Secured Promissory Note</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333-290930</w:t>
            </w:r>
          </w:p>
        </w:tc>
        <w:tc>
          <w:tcPr>
            <w:tcW w:w="7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10/30/2025</w:t>
            </w:r>
          </w:p>
        </w:tc>
        <w:tc>
          <w:tcPr>
            <w:tcW w:w="1185"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5963"/>
        <w:gridCol w:w="436"/>
        <w:gridCol w:w="902"/>
        <w:gridCol w:w="719"/>
        <w:gridCol w:w="122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63"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before="0" w:after="283"/>
              <w:jc w:val="left"/>
              <w:rPr>
                <w:sz w:val="4"/>
                <w:szCs w:val="4"/>
              </w:rPr>
            </w:pPr>
            <w:r>
              <w:rPr>
                <w:sz w:val="4"/>
                <w:szCs w:val="4"/>
              </w:rPr>
            </w:r>
          </w:p>
        </w:tc>
        <w:tc>
          <w:tcPr>
            <w:tcW w:w="719" w:type="dxa"/>
            <w:tcBorders/>
            <w:shd w:fill="FFFFFF" w:val="clear"/>
            <w:vAlign w:val="center"/>
          </w:tcPr>
          <w:p>
            <w:pPr>
              <w:pStyle w:val="TableContents"/>
              <w:bidi w:val="0"/>
              <w:spacing w:before="0" w:after="283"/>
              <w:jc w:val="left"/>
              <w:rPr>
                <w:sz w:val="4"/>
                <w:szCs w:val="4"/>
              </w:rPr>
            </w:pPr>
            <w:r>
              <w:rPr>
                <w:sz w:val="4"/>
                <w:szCs w:val="4"/>
              </w:rPr>
            </w:r>
          </w:p>
        </w:tc>
        <w:tc>
          <w:tcPr>
            <w:tcW w:w="122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6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2057"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22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Filed/Furnished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Herewith</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3"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List of subsidiaries of the registrant</w:t>
              </w:r>
            </w:hyperlink>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9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001-42964</w:t>
            </w:r>
          </w:p>
        </w:tc>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4/15/2026</w:t>
            </w:r>
          </w:p>
        </w:tc>
        <w:tc>
          <w:tcPr>
            <w:tcW w:w="12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3" w:type="dxa"/>
            <w:tcBorders/>
            <w:tcMar>
              <w:top w:w="0" w:type="dxa"/>
              <w:left w:w="0" w:type="dxa"/>
              <w:bottom w:w="0" w:type="dxa"/>
              <w:right w:w="0" w:type="dxa"/>
            </w:tcMar>
            <w:vAlign w:val="center"/>
          </w:tcPr>
          <w:p>
            <w:pPr>
              <w:pStyle w:val="TableContents"/>
              <w:bidi w:val="0"/>
              <w:spacing w:before="0" w:after="283"/>
              <w:jc w:val="left"/>
              <w:rPr/>
            </w:pPr>
            <w:hyperlink w:anchor="gloo-ex23_1.htm">
              <w:r>
                <w:rPr>
                  <w:rStyle w:val="InternetLink"/>
                  <w:rFonts w:ascii="Times New Roman" w:hAnsi="Times New Roman"/>
                  <w:color w:val="0000FF"/>
                  <w:sz w:val="20"/>
                  <w:u w:val="single"/>
                </w:rPr>
                <w:t>Consent of Independent Registered Public Accounting Firm as to Gloo Holdings, Inc.</w:t>
              </w:r>
            </w:hyperlink>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3" w:type="dxa"/>
            <w:tcBorders/>
            <w:tcMar>
              <w:top w:w="0" w:type="dxa"/>
              <w:left w:w="0" w:type="dxa"/>
              <w:bottom w:w="0" w:type="dxa"/>
              <w:right w:w="0" w:type="dxa"/>
            </w:tcMar>
            <w:vAlign w:val="center"/>
          </w:tcPr>
          <w:p>
            <w:pPr>
              <w:pStyle w:val="TableContents"/>
              <w:bidi w:val="0"/>
              <w:spacing w:before="0" w:after="283"/>
              <w:jc w:val="left"/>
              <w:rPr/>
            </w:pPr>
            <w:hyperlink w:anchor="gloo-ex23_2.htm">
              <w:r>
                <w:rPr>
                  <w:rStyle w:val="InternetLink"/>
                  <w:rFonts w:ascii="Times New Roman" w:hAnsi="Times New Roman"/>
                  <w:color w:val="0000FF"/>
                  <w:sz w:val="20"/>
                  <w:u w:val="single"/>
                </w:rPr>
                <w:t>Consent of Independent Auditor as to Midwestern Interactive, LLC</w:t>
              </w:r>
            </w:hyperlink>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3" w:type="dxa"/>
            <w:tcBorders/>
            <w:tcMar>
              <w:top w:w="0" w:type="dxa"/>
              <w:left w:w="0" w:type="dxa"/>
              <w:bottom w:w="0" w:type="dxa"/>
              <w:right w:w="0" w:type="dxa"/>
            </w:tcMar>
            <w:vAlign w:val="center"/>
          </w:tcPr>
          <w:p>
            <w:pPr>
              <w:pStyle w:val="TableContents"/>
              <w:bidi w:val="0"/>
              <w:spacing w:before="0" w:after="283"/>
              <w:jc w:val="left"/>
              <w:rPr/>
            </w:pPr>
            <w:hyperlink w:anchor="gloo-ex5_1.htm">
              <w:r>
                <w:rPr>
                  <w:rStyle w:val="InternetLink"/>
                  <w:rFonts w:ascii="Times New Roman" w:hAnsi="Times New Roman"/>
                  <w:color w:val="0000FF"/>
                  <w:sz w:val="20"/>
                  <w:u w:val="single"/>
                </w:rPr>
                <w:t>Consent of Wilson Sonsini Goodrich &amp; Rosati, Professional Corporation (included in the opinion filed as Exhibit 5.1 to this registration statement)</w:t>
              </w:r>
            </w:hyperlink>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3"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Power of Attorney (included on the signature page of the initial filing of this registration statement)</w:t>
              </w:r>
            </w:hyperlink>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333-296949</w:t>
            </w:r>
          </w:p>
        </w:tc>
        <w:tc>
          <w:tcPr>
            <w:tcW w:w="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6/22/2026</w:t>
            </w:r>
          </w:p>
        </w:tc>
        <w:tc>
          <w:tcPr>
            <w:tcW w:w="12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3" w:type="dxa"/>
            <w:tcBorders/>
            <w:tcMar>
              <w:top w:w="0" w:type="dxa"/>
              <w:left w:w="0" w:type="dxa"/>
              <w:bottom w:w="0" w:type="dxa"/>
              <w:right w:w="0" w:type="dxa"/>
            </w:tcMar>
            <w:vAlign w:val="center"/>
          </w:tcPr>
          <w:p>
            <w:pPr>
              <w:pStyle w:val="TableContents"/>
              <w:bidi w:val="0"/>
              <w:spacing w:before="0" w:after="283"/>
              <w:jc w:val="left"/>
              <w:rPr/>
            </w:pPr>
            <w:hyperlink w:anchor="gloo-exfiling_fees.htm">
              <w:r>
                <w:rPr>
                  <w:rStyle w:val="InternetLink"/>
                  <w:rFonts w:ascii="Times New Roman" w:hAnsi="Times New Roman"/>
                  <w:color w:val="0000FF"/>
                  <w:sz w:val="20"/>
                  <w:u w:val="single"/>
                </w:rPr>
                <w:t>Filing Fee Table</w:t>
              </w:r>
            </w:hyperlink>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_mwi"/>
      <w:bookmarkEnd w:id="23"/>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Act of 1933, the registrant has duly caused this registration statement to be signed on its behalf by the undersigned, thereunto duly authorized in the City of Boulder, State of Colorado, on July 6, 2026.</w:t>
      </w:r>
    </w:p>
    <w:p>
      <w:pPr>
        <w:pStyle w:val="TextBody"/>
        <w:bidi w:val="0"/>
        <w:jc w:val="left"/>
        <w:rPr/>
      </w:pPr>
      <w:r>
        <w:rPr/>
        <w:t> </w:t>
      </w:r>
    </w:p>
    <w:tbl>
      <w:tblPr>
        <w:tblW w:w="3778" w:type="dxa"/>
        <w:jc w:val="left"/>
        <w:tblInd w:w="0" w:type="dxa"/>
        <w:tblLayout w:type="fixed"/>
        <w:tblCellMar>
          <w:top w:w="28" w:type="dxa"/>
          <w:left w:w="28" w:type="dxa"/>
          <w:bottom w:w="28" w:type="dxa"/>
          <w:right w:w="28" w:type="dxa"/>
        </w:tblCellMar>
      </w:tblPr>
      <w:tblGrid>
        <w:gridCol w:w="421"/>
        <w:gridCol w:w="146"/>
        <w:gridCol w:w="321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20"/>
              </w:rPr>
            </w:pPr>
            <w:r>
              <w:rPr>
                <w:rFonts w:ascii="Times New Roman" w:hAnsi="Times New Roman"/>
                <w:b/>
                <w:caps/>
                <w:color w:val="000000"/>
                <w:sz w:val="20"/>
              </w:rPr>
              <w:t>GLOO HOLDINGS,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Beck</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Beck</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in the capacities and on the dates indicated.</w:t>
      </w:r>
    </w:p>
    <w:p>
      <w:pPr>
        <w:pStyle w:val="TextBody"/>
        <w:bidi w:val="0"/>
        <w:jc w:val="left"/>
        <w:rPr/>
      </w:pPr>
      <w:r>
        <w:rPr/>
        <w:t> </w:t>
      </w:r>
    </w:p>
    <w:tbl>
      <w:tblPr>
        <w:tblW w:w="7518" w:type="dxa"/>
        <w:jc w:val="left"/>
        <w:tblInd w:w="0" w:type="dxa"/>
        <w:tblLayout w:type="fixed"/>
        <w:tblCellMar>
          <w:top w:w="28" w:type="dxa"/>
          <w:left w:w="28" w:type="dxa"/>
          <w:bottom w:w="28" w:type="dxa"/>
          <w:right w:w="28" w:type="dxa"/>
        </w:tblCellMar>
      </w:tblPr>
      <w:tblGrid>
        <w:gridCol w:w="2446"/>
        <w:gridCol w:w="3916"/>
        <w:gridCol w:w="1156"/>
      </w:tblGrid>
      <w:tr>
        <w:trPr/>
        <w:tc>
          <w:tcPr>
            <w:tcW w:w="244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391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15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44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Beck</w:t>
            </w:r>
          </w:p>
        </w:tc>
        <w:tc>
          <w:tcPr>
            <w:tcW w:w="39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6, 2026</w:t>
            </w:r>
          </w:p>
        </w:tc>
      </w:tr>
      <w:tr>
        <w:trPr/>
        <w:tc>
          <w:tcPr>
            <w:tcW w:w="2446" w:type="dxa"/>
            <w:tcBorders>
              <w:top w:val="single" w:sz="4" w:space="0" w:color="000000"/>
            </w:tcBorders>
            <w:tcMar>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Scott Beck</w:t>
            </w:r>
          </w:p>
          <w:p>
            <w:pPr>
              <w:pStyle w:val="TableContents"/>
              <w:bidi w:val="0"/>
              <w:spacing w:before="0" w:after="283"/>
              <w:jc w:val="center"/>
              <w:rPr/>
            </w:pPr>
            <w:r>
              <w:rPr/>
              <w:t> </w:t>
            </w:r>
          </w:p>
        </w:tc>
        <w:tc>
          <w:tcPr>
            <w:tcW w:w="391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Seamon</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6, 2026</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Paul Seamon</w:t>
            </w:r>
          </w:p>
          <w:p>
            <w:pPr>
              <w:pStyle w:val="TableContents"/>
              <w:bidi w:val="0"/>
              <w:spacing w:before="0" w:after="283"/>
              <w:jc w:val="center"/>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Matthew Gotschall</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Accounting Officer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6, 2026</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Matthew Gotschall</w:t>
            </w:r>
          </w:p>
          <w:p>
            <w:pPr>
              <w:pStyle w:val="TableContents"/>
              <w:bidi w:val="0"/>
              <w:spacing w:before="0" w:after="283"/>
              <w:jc w:val="center"/>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Chairman of the Board; Head of Technology </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6, 2026</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Patrick Gelsinger</w:t>
            </w:r>
          </w:p>
          <w:p>
            <w:pPr>
              <w:pStyle w:val="TableContents"/>
              <w:bidi w:val="0"/>
              <w:spacing w:before="0" w:after="283"/>
              <w:jc w:val="center"/>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6, 2026</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Bishop Claude Alexander Jr.</w:t>
            </w:r>
          </w:p>
          <w:p>
            <w:pPr>
              <w:pStyle w:val="TableContents"/>
              <w:bidi w:val="0"/>
              <w:spacing w:before="0" w:after="283"/>
              <w:jc w:val="center"/>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6, 2026</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John Furst</w:t>
            </w:r>
          </w:p>
          <w:p>
            <w:pPr>
              <w:pStyle w:val="TableContents"/>
              <w:bidi w:val="0"/>
              <w:spacing w:before="0" w:after="283"/>
              <w:jc w:val="center"/>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6, 2026</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Derek Green</w:t>
            </w:r>
          </w:p>
          <w:p>
            <w:pPr>
              <w:pStyle w:val="TableContents"/>
              <w:bidi w:val="0"/>
              <w:spacing w:before="0" w:after="283"/>
              <w:jc w:val="center"/>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6, 2026</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Elizabeth Grennan</w:t>
            </w:r>
          </w:p>
          <w:p>
            <w:pPr>
              <w:pStyle w:val="TableContents"/>
              <w:bidi w:val="0"/>
              <w:spacing w:before="0" w:after="283"/>
              <w:jc w:val="center"/>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6, 2026</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Robert Gruenewald</w:t>
            </w:r>
          </w:p>
          <w:p>
            <w:pPr>
              <w:pStyle w:val="TableContents"/>
              <w:bidi w:val="0"/>
              <w:spacing w:before="0" w:after="283"/>
              <w:jc w:val="center"/>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6, 2026</w:t>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Nona Jones</w:t>
            </w:r>
          </w:p>
        </w:tc>
        <w:tc>
          <w:tcPr>
            <w:tcW w:w="3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2027" w:type="dxa"/>
        <w:jc w:val="left"/>
        <w:tblInd w:w="0" w:type="dxa"/>
        <w:tblLayout w:type="fixed"/>
        <w:tblCellMar>
          <w:top w:w="28" w:type="dxa"/>
          <w:left w:w="28" w:type="dxa"/>
          <w:bottom w:w="28" w:type="dxa"/>
          <w:right w:w="28" w:type="dxa"/>
        </w:tblCellMar>
      </w:tblPr>
      <w:tblGrid>
        <w:gridCol w:w="526"/>
        <w:gridCol w:w="1501"/>
      </w:tblGrid>
      <w:tr>
        <w:trPr/>
        <w:tc>
          <w:tcPr>
            <w:tcW w:w="52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Beck</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Scott Beck</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Attorney-in-Fact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4" w:name="gloo-ex1_1.htm"/>
      <w:bookmarkStart w:id="25" w:name="ksglooex1_1"/>
      <w:bookmarkEnd w:id="24"/>
      <w:bookmarkEnd w:id="25"/>
      <w:r>
        <w:rPr>
          <w:rFonts w:ascii="Times New Roman" w:hAnsi="Times New Roman"/>
          <w:b/>
          <w:color w:val="000000"/>
          <w:sz w:val="24"/>
        </w:rPr>
        <w:t>Exhibit 1.1</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4"/>
        </w:rPr>
        <w:t xml:space="preserve">[] SHARES </w:t>
      </w:r>
      <w:r>
        <w:rPr>
          <w:rFonts w:ascii="Times New Roman" w:hAnsi="Times New Roman"/>
          <w:b/>
          <w:caps/>
          <w:color w:val="000000"/>
          <w:sz w:val="24"/>
        </w:rPr>
        <w:t>of CLASS A Common Stock</w:t>
      </w:r>
      <w:r>
        <w:rPr>
          <w:rFonts w:ascii="Times New Roman" w:hAnsi="Times New Roman"/>
          <w:caps/>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GLOO HOLDINGS, INC.</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UNDERWRITING AGREEMENT</w:t>
      </w:r>
    </w:p>
    <w:p>
      <w:pPr>
        <w:pStyle w:val="TextBody"/>
        <w:bidi w:val="0"/>
        <w:spacing w:before="0" w:after="240"/>
        <w:jc w:val="right"/>
        <w:rPr>
          <w:rFonts w:ascii="Times New Roman" w:hAnsi="Times New Roman"/>
          <w:sz w:val="20"/>
        </w:rPr>
      </w:pPr>
      <w:r>
        <w:rPr>
          <w:rFonts w:ascii="Times New Roman" w:hAnsi="Times New Roman"/>
          <w:color w:val="000000"/>
          <w:sz w:val="24"/>
        </w:rPr>
        <w:br/>
      </w:r>
      <w:r>
        <w:rPr>
          <w:rFonts w:ascii="Times New Roman" w:hAnsi="Times New Roman"/>
          <w:b/>
          <w:color w:val="000000"/>
          <w:sz w:val="24"/>
        </w:rPr>
        <w:t>[]</w:t>
      </w:r>
      <w:r>
        <w:rPr>
          <w:rFonts w:ascii="Times New Roman" w:hAnsi="Times New Roman"/>
          <w:color w:val="000000"/>
          <w:sz w:val="24"/>
        </w:rPr>
        <w:t>, 2026</w:t>
      </w:r>
    </w:p>
    <w:p>
      <w:pPr>
        <w:pStyle w:val="TextBody"/>
        <w:bidi w:val="0"/>
        <w:jc w:val="left"/>
        <w:rPr>
          <w:rFonts w:ascii="Times New Roman" w:hAnsi="Times New Roman"/>
          <w:color w:val="000000"/>
          <w:sz w:val="24"/>
        </w:rPr>
      </w:pPr>
      <w:r>
        <w:rPr>
          <w:rFonts w:ascii="Times New Roman" w:hAnsi="Times New Roman"/>
          <w:color w:val="000000"/>
          <w:sz w:val="24"/>
        </w:rPr>
        <w:t>Citizens JMP Securities, LLC</w:t>
      </w:r>
    </w:p>
    <w:p>
      <w:pPr>
        <w:pStyle w:val="TextBody"/>
        <w:bidi w:val="0"/>
        <w:jc w:val="left"/>
        <w:rPr>
          <w:rFonts w:ascii="Times New Roman" w:hAnsi="Times New Roman"/>
          <w:color w:val="000000"/>
          <w:sz w:val="24"/>
        </w:rPr>
      </w:pPr>
      <w:r>
        <w:rPr>
          <w:rFonts w:ascii="Times New Roman" w:hAnsi="Times New Roman"/>
          <w:color w:val="000000"/>
          <w:sz w:val="24"/>
        </w:rPr>
        <w:t>Roth Capital Partners, LLC</w:t>
      </w:r>
    </w:p>
    <w:p>
      <w:pPr>
        <w:pStyle w:val="TextBody"/>
        <w:bidi w:val="0"/>
        <w:jc w:val="left"/>
        <w:rPr>
          <w:rFonts w:ascii="Times New Roman" w:hAnsi="Times New Roman"/>
          <w:color w:val="000000"/>
          <w:sz w:val="24"/>
        </w:rPr>
      </w:pPr>
      <w:r>
        <w:rPr>
          <w:rFonts w:ascii="Times New Roman" w:hAnsi="Times New Roman"/>
          <w:color w:val="000000"/>
          <w:sz w:val="24"/>
        </w:rPr>
        <w:t>As the Representatives of the</w:t>
      </w:r>
    </w:p>
    <w:p>
      <w:pPr>
        <w:pStyle w:val="TextBody"/>
        <w:bidi w:val="0"/>
        <w:jc w:val="left"/>
        <w:rPr>
          <w:rFonts w:ascii="Times New Roman" w:hAnsi="Times New Roman"/>
          <w:sz w:val="20"/>
        </w:rPr>
      </w:pPr>
      <w:r>
        <w:rPr>
          <w:rFonts w:ascii="Times New Roman" w:hAnsi="Times New Roman"/>
          <w:color w:val="000000"/>
          <w:sz w:val="24"/>
        </w:rPr>
        <w:t xml:space="preserve">Several underwriters, if any, named in </w:t>
      </w:r>
      <w:r>
        <w:rPr>
          <w:rFonts w:ascii="Times New Roman" w:hAnsi="Times New Roman"/>
          <w:color w:val="000000"/>
          <w:sz w:val="24"/>
          <w:u w:val="single"/>
        </w:rPr>
        <w:t>Schedule I</w:t>
      </w:r>
      <w:r>
        <w:rPr>
          <w:rFonts w:ascii="Times New Roman" w:hAnsi="Times New Roman"/>
          <w:color w:val="000000"/>
          <w:sz w:val="20"/>
        </w:rPr>
        <w:t xml:space="preserve"> </w:t>
      </w:r>
      <w:r>
        <w:rPr>
          <w:rFonts w:ascii="Times New Roman" w:hAnsi="Times New Roman"/>
          <w:color w:val="000000"/>
          <w:sz w:val="24"/>
        </w:rPr>
        <w:t>hereto</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 Citizens JMP Securities, LLC</w:t>
      </w:r>
    </w:p>
    <w:p>
      <w:pPr>
        <w:pStyle w:val="TextBody"/>
        <w:bidi w:val="0"/>
        <w:jc w:val="left"/>
        <w:rPr>
          <w:rFonts w:ascii="Times New Roman" w:hAnsi="Times New Roman"/>
          <w:color w:val="000000"/>
          <w:sz w:val="24"/>
        </w:rPr>
      </w:pPr>
      <w:r>
        <w:rPr>
          <w:rFonts w:ascii="Times New Roman" w:hAnsi="Times New Roman"/>
          <w:color w:val="000000"/>
          <w:sz w:val="24"/>
        </w:rPr>
        <w:t>1301 Avenue of the Americas</w:t>
      </w:r>
    </w:p>
    <w:p>
      <w:pPr>
        <w:pStyle w:val="TextBody"/>
        <w:bidi w:val="0"/>
        <w:jc w:val="left"/>
        <w:rPr>
          <w:rFonts w:ascii="Times New Roman" w:hAnsi="Times New Roman"/>
          <w:color w:val="000000"/>
          <w:sz w:val="24"/>
        </w:rPr>
      </w:pPr>
      <w:r>
        <w:rPr>
          <w:rFonts w:ascii="Times New Roman" w:hAnsi="Times New Roman"/>
          <w:color w:val="000000"/>
          <w:sz w:val="24"/>
        </w:rPr>
        <w:t>New York, NY 10019</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c/o Roth Capital Partners, LLC</w:t>
        <w:br/>
        <w:t>888 San Clemente Drive</w:t>
      </w:r>
    </w:p>
    <w:p>
      <w:pPr>
        <w:pStyle w:val="TextBody"/>
        <w:bidi w:val="0"/>
        <w:jc w:val="left"/>
        <w:rPr>
          <w:rFonts w:ascii="Times New Roman" w:hAnsi="Times New Roman"/>
          <w:color w:val="000000"/>
          <w:sz w:val="24"/>
        </w:rPr>
      </w:pPr>
      <w:r>
        <w:rPr>
          <w:rFonts w:ascii="Times New Roman" w:hAnsi="Times New Roman"/>
          <w:color w:val="000000"/>
          <w:sz w:val="24"/>
        </w:rPr>
        <w:t>Newport Beach, CA 92660</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240" w:after="283"/>
        <w:jc w:val="both"/>
        <w:rPr>
          <w:rFonts w:ascii="Times New Roman" w:hAnsi="Times New Roman"/>
          <w:sz w:val="20"/>
        </w:rPr>
      </w:pPr>
      <w:r>
        <w:rPr>
          <w:rFonts w:ascii="Times New Roman" w:hAnsi="Times New Roman"/>
          <w:color w:val="000000"/>
          <w:sz w:val="24"/>
        </w:rPr>
        <w:t>The undersigned Gloo Holdings, Inc., a company incorporated under the laws of Delaware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hereby confirms its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with the several underwriters (such underwriters, including the Representatives (as defined below), the “</w:t>
      </w:r>
      <w:r>
        <w:rPr>
          <w:rFonts w:ascii="Times New Roman" w:hAnsi="Times New Roman"/>
          <w:color w:val="000000"/>
          <w:sz w:val="24"/>
          <w:u w:val="single"/>
        </w:rPr>
        <w:t>Underwriters</w:t>
      </w:r>
      <w:r>
        <w:rPr>
          <w:rFonts w:ascii="Times New Roman" w:hAnsi="Times New Roman"/>
          <w:color w:val="000000"/>
          <w:sz w:val="20"/>
        </w:rPr>
        <w:t xml:space="preserve">” </w:t>
      </w:r>
      <w:r>
        <w:rPr>
          <w:rFonts w:ascii="Times New Roman" w:hAnsi="Times New Roman"/>
          <w:color w:val="000000"/>
          <w:sz w:val="24"/>
        </w:rPr>
        <w:t>and each an “</w:t>
      </w:r>
      <w:r>
        <w:rPr>
          <w:rFonts w:ascii="Times New Roman" w:hAnsi="Times New Roman"/>
          <w:color w:val="000000"/>
          <w:sz w:val="24"/>
          <w:u w:val="single"/>
        </w:rPr>
        <w:t>Underwriter</w:t>
      </w:r>
      <w:r>
        <w:rPr>
          <w:rFonts w:ascii="Times New Roman" w:hAnsi="Times New Roman"/>
          <w:color w:val="000000"/>
          <w:sz w:val="20"/>
        </w:rPr>
        <w:t>”</w:t>
      </w:r>
      <w:r>
        <w:rPr>
          <w:rFonts w:ascii="Times New Roman" w:hAnsi="Times New Roman"/>
          <w:color w:val="000000"/>
          <w:sz w:val="24"/>
        </w:rPr>
        <w:t xml:space="preserve">) named in </w:t>
      </w:r>
      <w:r>
        <w:rPr>
          <w:rFonts w:ascii="Times New Roman" w:hAnsi="Times New Roman"/>
          <w:color w:val="000000"/>
          <w:sz w:val="24"/>
          <w:u w:val="single"/>
        </w:rPr>
        <w:t>Schedule I</w:t>
      </w:r>
      <w:r>
        <w:rPr>
          <w:rFonts w:ascii="Times New Roman" w:hAnsi="Times New Roman"/>
          <w:color w:val="000000"/>
          <w:sz w:val="20"/>
        </w:rPr>
        <w:t xml:space="preserve"> </w:t>
      </w:r>
      <w:r>
        <w:rPr>
          <w:rFonts w:ascii="Times New Roman" w:hAnsi="Times New Roman"/>
          <w:color w:val="000000"/>
          <w:sz w:val="24"/>
        </w:rPr>
        <w:t>hereto for which Citizens JMP Securities, LLC and Roth Capital Partners, LLC are acting as representatives to the several Underwriters (the “</w:t>
      </w:r>
      <w:r>
        <w:rPr>
          <w:rFonts w:ascii="Times New Roman" w:hAnsi="Times New Roman"/>
          <w:color w:val="000000"/>
          <w:sz w:val="24"/>
          <w:u w:val="single"/>
        </w:rPr>
        <w:t>Representatives</w:t>
      </w:r>
      <w:r>
        <w:rPr>
          <w:rFonts w:ascii="Times New Roman" w:hAnsi="Times New Roman"/>
          <w:color w:val="000000"/>
          <w:sz w:val="20"/>
        </w:rPr>
        <w:t>”</w:t>
      </w:r>
      <w:r>
        <w:rPr>
          <w:rFonts w:ascii="Times New Roman" w:hAnsi="Times New Roman"/>
          <w:color w:val="000000"/>
          <w:sz w:val="24"/>
        </w:rPr>
        <w:t>) on the terms and conditions set forth herein.</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It is understood that the several Underwriters are to make a public offering of the Public Shares as soon as the Representatives deem it advisable to do so. The Public Shares are to be offered to the public at the public offering price set forth in the Prospectus.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further understood that you will act as the Representatives for the Underwriters in the offering and sale of the Closing Shares and, if any, the Option Shares in accordance with this Agreement.</w:t>
      </w:r>
    </w:p>
    <w:p>
      <w:pPr>
        <w:pStyle w:val="TextBody"/>
        <w:bidi w:val="0"/>
        <w:jc w:val="center"/>
        <w:rPr>
          <w:rFonts w:ascii="Times New Roman" w:hAnsi="Times New Roman"/>
          <w:b/>
          <w:color w:val="000000"/>
          <w:sz w:val="24"/>
        </w:rPr>
      </w:pPr>
      <w:r>
        <w:rPr>
          <w:rFonts w:ascii="Times New Roman" w:hAnsi="Times New Roman"/>
          <w:b/>
          <w:color w:val="000000"/>
          <w:sz w:val="24"/>
        </w:rPr>
        <w:t>ARTICLE 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 In addition to the terms defined elsewhere in this Agreement, for all purposes of this Agreement, the following terms have the meanings set forth in this Section 1.1:</w:t>
      </w:r>
    </w:p>
    <w:p>
      <w:pPr>
        <w:pStyle w:val="Heading2"/>
        <w:bidi w:val="0"/>
        <w:spacing w:before="0" w:after="240"/>
        <w:jc w:val="both"/>
        <w:rPr/>
      </w:pPr>
      <w:r>
        <w:rPr>
          <w:color w:val="000000"/>
        </w:rPr>
        <w:t>“</w:t>
      </w:r>
      <w:r>
        <w:rPr>
          <w:rFonts w:ascii="Times New Roman" w:hAnsi="Times New Roman"/>
          <w:b w:val="false"/>
          <w:color w:val="000000"/>
          <w:sz w:val="24"/>
          <w:u w:val="single"/>
        </w:rPr>
        <w:t>Action</w:t>
      </w:r>
      <w:r>
        <w:rPr>
          <w:rFonts w:ascii="Times New Roman" w:hAnsi="Times New Roman"/>
          <w:color w:val="000000"/>
          <w:sz w:val="20"/>
        </w:rPr>
        <w:t xml:space="preserve">” </w:t>
      </w:r>
      <w:r>
        <w:rPr>
          <w:rFonts w:ascii="Times New Roman" w:hAnsi="Times New Roman"/>
          <w:b w:val="false"/>
          <w:color w:val="000000"/>
          <w:sz w:val="24"/>
        </w:rPr>
        <w:t>shall have the meaning ascribed to such term in Section 3.1(m).</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with respect to any Person, any other Person that, directly 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indirectly through one or more intermediaries, controls or is controlled by or is under common control with such Person as such terms are used in and construed under Rule 405 under the Securities Act.</w:t>
      </w:r>
    </w:p>
    <w:p>
      <w:pPr>
        <w:pStyle w:val="TextBody"/>
        <w:bidi w:val="0"/>
        <w:spacing w:before="0" w:after="240"/>
        <w:jc w:val="both"/>
        <w:rPr/>
      </w:pPr>
      <w:r>
        <w:rPr>
          <w:color w:val="000000"/>
        </w:rPr>
        <w:t>“</w:t>
      </w:r>
      <w:r>
        <w:rPr>
          <w:rFonts w:ascii="Times New Roman" w:hAnsi="Times New Roman"/>
          <w:color w:val="000000"/>
          <w:sz w:val="24"/>
          <w:u w:val="single"/>
        </w:rPr>
        <w:t>Applicable Time</w:t>
      </w:r>
      <w:r>
        <w:rPr>
          <w:rFonts w:ascii="Times New Roman" w:hAnsi="Times New Roman"/>
          <w:color w:val="000000"/>
          <w:sz w:val="20"/>
        </w:rPr>
        <w:t xml:space="preserve">” </w:t>
      </w:r>
      <w:r>
        <w:rPr>
          <w:rFonts w:ascii="Times New Roman" w:hAnsi="Times New Roman"/>
          <w:color w:val="000000"/>
          <w:sz w:val="24"/>
        </w:rPr>
        <w:t>means [] p.m. (New York City time) on the date of this Agreement.</w:t>
      </w:r>
    </w:p>
    <w:p>
      <w:pPr>
        <w:pStyle w:val="TextBody"/>
        <w:bidi w:val="0"/>
        <w:spacing w:before="0" w:after="240"/>
        <w:jc w:val="both"/>
        <w:rPr/>
      </w:pPr>
      <w:r>
        <w:rPr>
          <w:color w:val="000000"/>
        </w:rPr>
        <w:t>“</w:t>
      </w:r>
      <w:r>
        <w:rPr>
          <w:rFonts w:ascii="Times New Roman" w:hAnsi="Times New Roman"/>
          <w:color w:val="000000"/>
          <w:sz w:val="24"/>
          <w:u w:val="single"/>
        </w:rPr>
        <w:t>Board of Directors</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0" w:after="240"/>
        <w:jc w:val="both"/>
        <w:rPr/>
      </w:pPr>
      <w:r>
        <w:rPr>
          <w:color w:val="000000"/>
        </w:rPr>
        <w:t>“</w:t>
      </w:r>
      <w:r>
        <w:rPr>
          <w:rFonts w:ascii="Times New Roman" w:hAnsi="Times New Roman"/>
          <w:color w:val="000000"/>
          <w:sz w:val="24"/>
          <w:u w:val="single"/>
        </w:rPr>
        <w:t>Bona Fide Electronic Road Show</w:t>
      </w:r>
      <w:r>
        <w:rPr>
          <w:rFonts w:ascii="Times New Roman" w:hAnsi="Times New Roman"/>
          <w:color w:val="000000"/>
          <w:sz w:val="20"/>
        </w:rPr>
        <w:t xml:space="preserve">” </w:t>
      </w:r>
      <w:r>
        <w:rPr>
          <w:rFonts w:ascii="Times New Roman" w:hAnsi="Times New Roman"/>
          <w:color w:val="000000"/>
          <w:sz w:val="24"/>
        </w:rPr>
        <w:t>shall have the meaning ascribed in the definition of “Issuer General Use Free Writing Prospectus.”</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 xml:space="preserve">means any day other than Saturday, Sunday or other day on which commercial banks in The City of New York are authorized or required by law to remain closed;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240"/>
        <w:jc w:val="both"/>
        <w:rPr/>
      </w:pPr>
      <w:r>
        <w:rPr>
          <w:color w:val="000000"/>
        </w:rPr>
        <w:t>“</w:t>
      </w:r>
      <w:r>
        <w:rPr>
          <w:rFonts w:ascii="Times New Roman" w:hAnsi="Times New Roman"/>
          <w:color w:val="000000"/>
          <w:sz w:val="24"/>
          <w:u w:val="single"/>
        </w:rPr>
        <w:t>Class B Common Stock</w:t>
      </w:r>
      <w:r>
        <w:rPr>
          <w:rFonts w:ascii="Times New Roman" w:hAnsi="Times New Roman"/>
          <w:color w:val="000000"/>
          <w:sz w:val="20"/>
        </w:rPr>
        <w:t xml:space="preserve">” </w:t>
      </w:r>
      <w:r>
        <w:rPr>
          <w:rFonts w:ascii="Times New Roman" w:hAnsi="Times New Roman"/>
          <w:color w:val="000000"/>
          <w:sz w:val="24"/>
        </w:rPr>
        <w:t>means the Class B common stock of the Company, par value $0.001 per share.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Closing</w:t>
      </w:r>
      <w:r>
        <w:rPr>
          <w:rFonts w:ascii="Times New Roman" w:hAnsi="Times New Roman"/>
          <w:color w:val="000000"/>
          <w:sz w:val="20"/>
        </w:rPr>
        <w:t xml:space="preserve">” </w:t>
      </w:r>
      <w:r>
        <w:rPr>
          <w:rFonts w:ascii="Times New Roman" w:hAnsi="Times New Roman"/>
          <w:color w:val="000000"/>
          <w:sz w:val="24"/>
        </w:rPr>
        <w:t>means the closing of the purchase and sale of the Closing Shares pursuant to Section 2.1.</w:t>
      </w:r>
    </w:p>
    <w:p>
      <w:pPr>
        <w:pStyle w:val="TextBody"/>
        <w:bidi w:val="0"/>
        <w:spacing w:before="0" w:after="240"/>
        <w:jc w:val="both"/>
        <w:rPr/>
      </w:pPr>
      <w:r>
        <w:rPr>
          <w:color w:val="000000"/>
        </w:rPr>
        <w:t>“</w:t>
      </w:r>
      <w:r>
        <w:rPr>
          <w:rFonts w:ascii="Times New Roman" w:hAnsi="Times New Roman"/>
          <w:color w:val="000000"/>
          <w:sz w:val="24"/>
          <w:u w:val="single"/>
        </w:rPr>
        <w:t>Closing Date</w:t>
      </w:r>
      <w:r>
        <w:rPr>
          <w:rFonts w:ascii="Times New Roman" w:hAnsi="Times New Roman"/>
          <w:color w:val="000000"/>
          <w:sz w:val="20"/>
        </w:rPr>
        <w:t xml:space="preserve">” </w:t>
      </w:r>
      <w:r>
        <w:rPr>
          <w:rFonts w:ascii="Times New Roman" w:hAnsi="Times New Roman"/>
          <w:color w:val="000000"/>
          <w:sz w:val="24"/>
        </w:rPr>
        <w:t>means the hour and the date on the Trading Day on which all conditions precedent to (i) the Underwriters’ obligations to pay the Closing Purchase Price and (ii) the Company’s obligations to deliver the Closing Shares, in each case, have been satisfied or waived, but in no event later than 10:00 a.m. (New York City time) on the second (2</w:t>
      </w:r>
      <w:r>
        <w:rPr>
          <w:rFonts w:ascii="Times New Roman" w:hAnsi="Times New Roman"/>
          <w:color w:val="000000"/>
          <w:sz w:val="16"/>
        </w:rPr>
        <w:t>nd</w:t>
      </w:r>
      <w:r>
        <w:rPr>
          <w:rFonts w:ascii="Times New Roman" w:hAnsi="Times New Roman"/>
          <w:color w:val="000000"/>
          <w:sz w:val="24"/>
        </w:rPr>
        <w:t>) Trading Day following the Execution Date or at such earlier time as shall be agreed upon by the Representatives and the Company.</w:t>
      </w:r>
    </w:p>
    <w:p>
      <w:pPr>
        <w:pStyle w:val="TextBody"/>
        <w:bidi w:val="0"/>
        <w:spacing w:before="0" w:after="240"/>
        <w:jc w:val="both"/>
        <w:rPr/>
      </w:pPr>
      <w:r>
        <w:rPr>
          <w:color w:val="000000"/>
        </w:rPr>
        <w:t>“</w:t>
      </w:r>
      <w:r>
        <w:rPr>
          <w:rFonts w:ascii="Times New Roman" w:hAnsi="Times New Roman"/>
          <w:color w:val="000000"/>
          <w:sz w:val="24"/>
          <w:u w:val="single"/>
        </w:rPr>
        <w:t>Closing Purchase Price</w:t>
      </w:r>
      <w:r>
        <w:rPr>
          <w:rFonts w:ascii="Times New Roman" w:hAnsi="Times New Roman"/>
          <w:color w:val="000000"/>
          <w:sz w:val="20"/>
        </w:rPr>
        <w:t xml:space="preserve">” </w:t>
      </w:r>
      <w:r>
        <w:rPr>
          <w:rFonts w:ascii="Times New Roman" w:hAnsi="Times New Roman"/>
          <w:color w:val="000000"/>
          <w:sz w:val="24"/>
        </w:rPr>
        <w:t>shall have the meaning ascribed to such term in Section 2.1(b), which aggregate purchase price shall be net of the underwriting discounts and commissions.</w:t>
      </w:r>
    </w:p>
    <w:p>
      <w:pPr>
        <w:pStyle w:val="TextBody"/>
        <w:bidi w:val="0"/>
        <w:spacing w:before="0" w:after="240"/>
        <w:jc w:val="both"/>
        <w:rPr/>
      </w:pPr>
      <w:r>
        <w:rPr>
          <w:color w:val="000000"/>
        </w:rPr>
        <w:t>“</w:t>
      </w:r>
      <w:r>
        <w:rPr>
          <w:rFonts w:ascii="Times New Roman" w:hAnsi="Times New Roman"/>
          <w:color w:val="000000"/>
          <w:sz w:val="24"/>
          <w:u w:val="single"/>
        </w:rPr>
        <w:t>Closing Shares</w:t>
      </w:r>
      <w:r>
        <w:rPr>
          <w:rFonts w:ascii="Times New Roman" w:hAnsi="Times New Roman"/>
          <w:color w:val="000000"/>
          <w:sz w:val="20"/>
        </w:rPr>
        <w:t xml:space="preserve">” </w:t>
      </w:r>
      <w:r>
        <w:rPr>
          <w:rFonts w:ascii="Times New Roman" w:hAnsi="Times New Roman"/>
          <w:color w:val="000000"/>
          <w:sz w:val="24"/>
        </w:rPr>
        <w:t>shall have the meaning ascribed to such term in Section 2.1(a).</w:t>
      </w:r>
    </w:p>
    <w:p>
      <w:pPr>
        <w:pStyle w:val="TextBody"/>
        <w:bidi w:val="0"/>
        <w:spacing w:before="0" w:after="240"/>
        <w:jc w:val="both"/>
        <w:rPr/>
      </w:pPr>
      <w:r>
        <w:rPr>
          <w:color w:val="000000"/>
        </w:rPr>
        <w:t>“</w:t>
      </w:r>
      <w:r>
        <w:rPr>
          <w:rFonts w:ascii="Times New Roman" w:hAnsi="Times New Roman"/>
          <w:color w:val="000000"/>
          <w:sz w:val="24"/>
          <w:u w:val="single"/>
        </w:rPr>
        <w:t>Commission</w:t>
      </w:r>
      <w:r>
        <w:rPr>
          <w:rFonts w:ascii="Times New Roman" w:hAnsi="Times New Roman"/>
          <w:color w:val="000000"/>
          <w:sz w:val="20"/>
        </w:rPr>
        <w:t xml:space="preserve">” </w:t>
      </w:r>
      <w:r>
        <w:rPr>
          <w:rFonts w:ascii="Times New Roman" w:hAnsi="Times New Roman"/>
          <w:color w:val="000000"/>
          <w:sz w:val="24"/>
        </w:rPr>
        <w:t>means the United States Securities and Exchange Commission.</w:t>
      </w:r>
    </w:p>
    <w:p>
      <w:pPr>
        <w:pStyle w:val="TextBody"/>
        <w:bidi w:val="0"/>
        <w:spacing w:before="0" w:after="240"/>
        <w:jc w:val="both"/>
        <w:rPr/>
      </w:pPr>
      <w:r>
        <w:rPr>
          <w:color w:val="000000"/>
        </w:rPr>
        <w:t>“</w:t>
      </w:r>
      <w:r>
        <w:rPr>
          <w:rFonts w:ascii="Times New Roman" w:hAnsi="Times New Roman"/>
          <w:color w:val="000000"/>
          <w:sz w:val="24"/>
          <w:u w:val="single"/>
        </w:rPr>
        <w:t>Common Stock</w:t>
      </w:r>
      <w:r>
        <w:rPr>
          <w:rFonts w:ascii="Times New Roman" w:hAnsi="Times New Roman"/>
          <w:color w:val="000000"/>
          <w:sz w:val="20"/>
        </w:rPr>
        <w:t xml:space="preserve">” </w:t>
      </w:r>
      <w:r>
        <w:rPr>
          <w:rFonts w:ascii="Times New Roman" w:hAnsi="Times New Roman"/>
          <w:color w:val="000000"/>
          <w:sz w:val="24"/>
        </w:rPr>
        <w:t>means the Class A common stock of the Company, par value $0.001 per share, and any other class of securities into which such securities may hereafter be reclassified or changed.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Common Stock Equivalents</w:t>
      </w:r>
      <w:r>
        <w:rPr>
          <w:rFonts w:ascii="Times New Roman" w:hAnsi="Times New Roman"/>
          <w:color w:val="000000"/>
          <w:sz w:val="20"/>
        </w:rPr>
        <w:t xml:space="preserve">” </w:t>
      </w:r>
      <w:r>
        <w:rPr>
          <w:rFonts w:ascii="Times New Roman" w:hAnsi="Times New Roman"/>
          <w:color w:val="000000"/>
          <w:sz w:val="24"/>
        </w:rPr>
        <w:t>means any securities of the Company or the Subsidiaries which would entitle the holder thereof to acquire at any time Common Stock,</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240"/>
        <w:jc w:val="both"/>
        <w:rPr/>
      </w:pPr>
      <w:r>
        <w:rPr>
          <w:color w:val="000000"/>
        </w:rPr>
        <w:t>“</w:t>
      </w:r>
      <w:r>
        <w:rPr>
          <w:rFonts w:ascii="Times New Roman" w:hAnsi="Times New Roman"/>
          <w:color w:val="000000"/>
          <w:sz w:val="24"/>
          <w:u w:val="single"/>
        </w:rPr>
        <w:t>Company Auditor</w:t>
      </w:r>
      <w:r>
        <w:rPr>
          <w:rFonts w:ascii="Times New Roman" w:hAnsi="Times New Roman"/>
          <w:color w:val="000000"/>
          <w:sz w:val="20"/>
        </w:rPr>
        <w:t xml:space="preserve">” </w:t>
      </w:r>
      <w:r>
        <w:rPr>
          <w:rFonts w:ascii="Times New Roman" w:hAnsi="Times New Roman"/>
          <w:color w:val="000000"/>
          <w:sz w:val="24"/>
        </w:rPr>
        <w:t>means Crowe LLP, with offices located at 225 West Wacker Drive Suite 2600, Chicago, IL, 60606.</w:t>
      </w:r>
    </w:p>
    <w:p>
      <w:pPr>
        <w:pStyle w:val="TextBody"/>
        <w:bidi w:val="0"/>
        <w:spacing w:before="0" w:after="240"/>
        <w:jc w:val="both"/>
        <w:rPr/>
      </w:pPr>
      <w:r>
        <w:rPr>
          <w:color w:val="000000"/>
        </w:rPr>
        <w:t>“</w:t>
      </w:r>
      <w:r>
        <w:rPr>
          <w:rFonts w:ascii="Times New Roman" w:hAnsi="Times New Roman"/>
          <w:color w:val="000000"/>
          <w:sz w:val="24"/>
          <w:u w:val="single"/>
        </w:rPr>
        <w:t>Company Counsel</w:t>
      </w:r>
      <w:r>
        <w:rPr>
          <w:rFonts w:ascii="Times New Roman" w:hAnsi="Times New Roman"/>
          <w:color w:val="000000"/>
          <w:sz w:val="20"/>
        </w:rPr>
        <w:t xml:space="preserve">” </w:t>
      </w:r>
      <w:r>
        <w:rPr>
          <w:rFonts w:ascii="Times New Roman" w:hAnsi="Times New Roman"/>
          <w:color w:val="000000"/>
          <w:sz w:val="24"/>
        </w:rPr>
        <w:t>means Wilson Sonsini Goodrich &amp; Rosati P.C., with offices located at 1155 Canyon Blvd Suite 400, Boulder, CO 80302.</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Company Intellectual Property</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3.1(q).</w:t>
      </w:r>
    </w:p>
    <w:p>
      <w:pPr>
        <w:pStyle w:val="TextBody"/>
        <w:bidi w:val="0"/>
        <w:spacing w:before="0" w:after="240"/>
        <w:jc w:val="both"/>
        <w:rPr/>
      </w:pPr>
      <w:r>
        <w:rPr>
          <w:color w:val="000000"/>
        </w:rPr>
        <w:t>“</w:t>
      </w:r>
      <w:r>
        <w:rPr>
          <w:rFonts w:ascii="Times New Roman" w:hAnsi="Times New Roman"/>
          <w:color w:val="000000"/>
          <w:sz w:val="24"/>
          <w:u w:val="single"/>
        </w:rPr>
        <w:t>Contributing Party</w:t>
      </w:r>
      <w:r>
        <w:rPr>
          <w:rFonts w:ascii="Times New Roman" w:hAnsi="Times New Roman"/>
          <w:color w:val="000000"/>
          <w:sz w:val="20"/>
        </w:rPr>
        <w:t xml:space="preserve">” </w:t>
      </w:r>
      <w:r>
        <w:rPr>
          <w:rFonts w:ascii="Times New Roman" w:hAnsi="Times New Roman"/>
          <w:color w:val="000000"/>
          <w:sz w:val="24"/>
        </w:rPr>
        <w:t>has the meaning ascribed to such term in Section 6.4(b).</w:t>
      </w:r>
    </w:p>
    <w:p>
      <w:pPr>
        <w:pStyle w:val="TextBody"/>
        <w:bidi w:val="0"/>
        <w:spacing w:before="0" w:after="240"/>
        <w:jc w:val="both"/>
        <w:rPr/>
      </w:pPr>
      <w:r>
        <w:rPr>
          <w:color w:val="000000"/>
        </w:rPr>
        <w:t>“</w:t>
      </w:r>
      <w:r>
        <w:rPr>
          <w:rFonts w:ascii="Times New Roman" w:hAnsi="Times New Roman"/>
          <w:color w:val="000000"/>
          <w:sz w:val="24"/>
          <w:u w:val="single"/>
        </w:rPr>
        <w:t>Controlling Person</w:t>
      </w:r>
      <w:r>
        <w:rPr>
          <w:rFonts w:ascii="Times New Roman" w:hAnsi="Times New Roman"/>
          <w:color w:val="000000"/>
          <w:sz w:val="20"/>
        </w:rPr>
        <w:t xml:space="preserve">” </w:t>
      </w:r>
      <w:r>
        <w:rPr>
          <w:rFonts w:ascii="Times New Roman" w:hAnsi="Times New Roman"/>
          <w:color w:val="000000"/>
          <w:sz w:val="24"/>
        </w:rPr>
        <w:t>shall have the meaning ascribed to such term in Section 6.1.</w:t>
      </w:r>
    </w:p>
    <w:p>
      <w:pPr>
        <w:pStyle w:val="TextBody"/>
        <w:bidi w:val="0"/>
        <w:spacing w:before="0" w:after="240"/>
        <w:jc w:val="both"/>
        <w:rPr/>
      </w:pPr>
      <w:r>
        <w:rPr>
          <w:color w:val="000000"/>
        </w:rPr>
        <w:t>“</w:t>
      </w:r>
      <w:r>
        <w:rPr>
          <w:rFonts w:ascii="Times New Roman" w:hAnsi="Times New Roman"/>
          <w:color w:val="000000"/>
          <w:sz w:val="24"/>
          <w:u w:val="single"/>
        </w:rPr>
        <w:t>Effective Date</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3.1(f).</w:t>
      </w:r>
    </w:p>
    <w:p>
      <w:pPr>
        <w:pStyle w:val="TextBody"/>
        <w:bidi w:val="0"/>
        <w:spacing w:before="0" w:after="240"/>
        <w:jc w:val="both"/>
        <w:rPr/>
      </w:pPr>
      <w:r>
        <w:rPr>
          <w:color w:val="000000"/>
        </w:rPr>
        <w:t>“</w:t>
      </w:r>
      <w:r>
        <w:rPr>
          <w:rFonts w:ascii="Times New Roman" w:hAnsi="Times New Roman"/>
          <w:color w:val="000000"/>
          <w:sz w:val="24"/>
          <w:u w:val="single"/>
        </w:rPr>
        <w:t>Emerging Growth Company</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3.1(mm).</w:t>
      </w:r>
    </w:p>
    <w:p>
      <w:pPr>
        <w:pStyle w:val="TextBody"/>
        <w:bidi w:val="0"/>
        <w:spacing w:before="0" w:after="240"/>
        <w:jc w:val="both"/>
        <w:rPr/>
      </w:pPr>
      <w:r>
        <w:rPr>
          <w:color w:val="000000"/>
        </w:rPr>
        <w:t>“</w:t>
      </w:r>
      <w:r>
        <w:rPr>
          <w:rFonts w:ascii="Times New Roman" w:hAnsi="Times New Roman"/>
          <w:color w:val="000000"/>
          <w:sz w:val="24"/>
          <w:u w:val="single"/>
        </w:rPr>
        <w:t>Environmental Laws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3.1(kk).</w:t>
      </w:r>
    </w:p>
    <w:p>
      <w:pPr>
        <w:pStyle w:val="TextBody"/>
        <w:bidi w:val="0"/>
        <w:jc w:val="both"/>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u w:val="single"/>
        </w:rPr>
        <w:t>Execution Date</w:t>
      </w:r>
      <w:r>
        <w:rPr>
          <w:rFonts w:ascii="Times New Roman" w:hAnsi="Times New Roman"/>
          <w:color w:val="000000"/>
          <w:sz w:val="20"/>
        </w:rPr>
        <w:t xml:space="preserve">” </w:t>
      </w:r>
      <w:r>
        <w:rPr>
          <w:rFonts w:ascii="Times New Roman" w:hAnsi="Times New Roman"/>
          <w:color w:val="000000"/>
          <w:sz w:val="24"/>
        </w:rPr>
        <w:t>shall mean the date on which the parties execute and enter into this Agreement.</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FCPA</w:t>
      </w:r>
      <w:r>
        <w:rPr>
          <w:rFonts w:ascii="Times New Roman" w:hAnsi="Times New Roman"/>
          <w:color w:val="000000"/>
          <w:sz w:val="20"/>
        </w:rPr>
        <w:t xml:space="preserve">” </w:t>
      </w:r>
      <w:r>
        <w:rPr>
          <w:rFonts w:ascii="Times New Roman" w:hAnsi="Times New Roman"/>
          <w:color w:val="000000"/>
          <w:sz w:val="24"/>
        </w:rPr>
        <w:t>means the Foreign Corrupt Practices Act of 1977, as amended.</w:t>
      </w:r>
    </w:p>
    <w:p>
      <w:pPr>
        <w:pStyle w:val="TextBody"/>
        <w:bidi w:val="0"/>
        <w:spacing w:before="0" w:after="240"/>
        <w:jc w:val="both"/>
        <w:rPr/>
      </w:pPr>
      <w:r>
        <w:rPr>
          <w:color w:val="000000"/>
        </w:rPr>
        <w:t>“</w:t>
      </w:r>
      <w:r>
        <w:rPr>
          <w:rFonts w:ascii="Times New Roman" w:hAnsi="Times New Roman"/>
          <w:color w:val="000000"/>
          <w:sz w:val="24"/>
          <w:u w:val="single"/>
        </w:rPr>
        <w:t>Federal Reserve Board</w:t>
      </w:r>
      <w:r>
        <w:rPr>
          <w:rFonts w:ascii="Times New Roman" w:hAnsi="Times New Roman"/>
          <w:color w:val="000000"/>
          <w:sz w:val="20"/>
        </w:rPr>
        <w:t xml:space="preserve">” </w:t>
      </w:r>
      <w:r>
        <w:rPr>
          <w:rFonts w:ascii="Times New Roman" w:hAnsi="Times New Roman"/>
          <w:color w:val="000000"/>
          <w:sz w:val="24"/>
        </w:rPr>
        <w:t>has the meaning ascribed to such term in Section 3.1(pp).</w:t>
      </w:r>
    </w:p>
    <w:p>
      <w:pPr>
        <w:pStyle w:val="TextBody"/>
        <w:bidi w:val="0"/>
        <w:spacing w:before="0" w:after="240"/>
        <w:jc w:val="both"/>
        <w:rPr/>
      </w:pPr>
      <w:r>
        <w:rPr>
          <w:color w:val="000000"/>
        </w:rPr>
        <w:t>“</w:t>
      </w:r>
      <w:r>
        <w:rPr>
          <w:rFonts w:ascii="Times New Roman" w:hAnsi="Times New Roman"/>
          <w:color w:val="000000"/>
          <w:sz w:val="24"/>
          <w:u w:val="single"/>
        </w:rPr>
        <w:t>FINRA</w:t>
      </w:r>
      <w:r>
        <w:rPr>
          <w:rFonts w:ascii="Times New Roman" w:hAnsi="Times New Roman"/>
          <w:color w:val="000000"/>
          <w:sz w:val="20"/>
        </w:rPr>
        <w:t xml:space="preserve">” </w:t>
      </w:r>
      <w:r>
        <w:rPr>
          <w:rFonts w:ascii="Times New Roman" w:hAnsi="Times New Roman"/>
          <w:color w:val="000000"/>
          <w:sz w:val="24"/>
        </w:rPr>
        <w:t>means the Financial Industry Regulatory Authority.</w:t>
      </w:r>
    </w:p>
    <w:p>
      <w:pPr>
        <w:pStyle w:val="TextBody"/>
        <w:bidi w:val="0"/>
        <w:spacing w:before="0" w:after="240"/>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3.1(j).</w:t>
      </w:r>
    </w:p>
    <w:p>
      <w:pPr>
        <w:pStyle w:val="TextBody"/>
        <w:bidi w:val="0"/>
        <w:spacing w:before="0" w:after="240"/>
        <w:jc w:val="both"/>
        <w:rPr/>
      </w:pPr>
      <w:r>
        <w:rPr>
          <w:color w:val="000000"/>
        </w:rPr>
        <w:t>“</w:t>
      </w:r>
      <w:r>
        <w:rPr>
          <w:rFonts w:ascii="Times New Roman" w:hAnsi="Times New Roman"/>
          <w:color w:val="000000"/>
          <w:sz w:val="24"/>
          <w:u w:val="single"/>
        </w:rPr>
        <w:t>GDPR</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3.1(tt).</w:t>
      </w:r>
    </w:p>
    <w:p>
      <w:pPr>
        <w:pStyle w:val="TextBody"/>
        <w:bidi w:val="0"/>
        <w:spacing w:before="0" w:after="240"/>
        <w:jc w:val="both"/>
        <w:rPr/>
      </w:pPr>
      <w:r>
        <w:rPr>
          <w:color w:val="000000"/>
        </w:rPr>
        <w:t>“</w:t>
      </w:r>
      <w:r>
        <w:rPr>
          <w:rFonts w:ascii="Times New Roman" w:hAnsi="Times New Roman"/>
          <w:color w:val="000000"/>
          <w:sz w:val="24"/>
          <w:u w:val="single"/>
        </w:rPr>
        <w:t>Hazardous Materials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3.1(kk).</w:t>
      </w:r>
    </w:p>
    <w:p>
      <w:pPr>
        <w:pStyle w:val="TextBody"/>
        <w:bidi w:val="0"/>
        <w:spacing w:before="0" w:after="24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Intellectual Property</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3.1(q).</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Issuer Free Writing Prospectus</w:t>
      </w:r>
      <w:r>
        <w:rPr>
          <w:rFonts w:ascii="Times New Roman" w:hAnsi="Times New Roman"/>
          <w:color w:val="000000"/>
          <w:sz w:val="20"/>
        </w:rPr>
        <w:t xml:space="preserve">” </w:t>
      </w:r>
      <w:r>
        <w:rPr>
          <w:rFonts w:ascii="Times New Roman" w:hAnsi="Times New Roman"/>
          <w:color w:val="000000"/>
          <w:sz w:val="24"/>
        </w:rPr>
        <w:t>means any “issuer free writing prospectus,” as defined in Rule 433 under the Securities Act, including without limitation any “free writing prospectus” (as defined in Rule 405 of the Securities Act Regulations) relating to the Public Shares that is (i) required to be filed with the Commission by the Company, (ii) a “road show that is a written communication” within the meaning of Rule 433(d)(8)(i), whether or not required to be filed with the Commission, or (iii) exempt from filing with the Commission pursuant to Rule 433(d)(5)(i) under the Securities Act because it contains a description of the Public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pStyle w:val="TextBody"/>
        <w:bidi w:val="0"/>
        <w:spacing w:before="0" w:after="240"/>
        <w:jc w:val="both"/>
        <w:rPr/>
      </w:pPr>
      <w:r>
        <w:rPr>
          <w:color w:val="000000"/>
        </w:rPr>
        <w:t>“</w:t>
      </w:r>
      <w:r>
        <w:rPr>
          <w:rFonts w:ascii="Times New Roman" w:hAnsi="Times New Roman"/>
          <w:color w:val="000000"/>
          <w:sz w:val="24"/>
          <w:u w:val="single"/>
        </w:rPr>
        <w:t>Issuer General Use Free Writing Prospectus</w:t>
      </w:r>
      <w:r>
        <w:rPr>
          <w:rFonts w:ascii="Times New Roman" w:hAnsi="Times New Roman"/>
          <w:color w:val="000000"/>
          <w:sz w:val="20"/>
        </w:rPr>
        <w:t xml:space="preserve">” </w:t>
      </w:r>
      <w:r>
        <w:rPr>
          <w:rFonts w:ascii="Times New Roman" w:hAnsi="Times New Roman"/>
          <w:color w:val="000000"/>
          <w:sz w:val="24"/>
        </w:rPr>
        <w:t>means any Issuer Free Writing Prospectus that is intended for general distribution to prospective investors (other than a “bona fide electronic road show,” as defined in Rule 433 (the “</w:t>
      </w:r>
      <w:r>
        <w:rPr>
          <w:rFonts w:ascii="Times New Roman" w:hAnsi="Times New Roman"/>
          <w:color w:val="000000"/>
          <w:sz w:val="24"/>
          <w:u w:val="single"/>
        </w:rPr>
        <w:t>Bona Fide Electronic Road Show</w:t>
      </w:r>
      <w:r>
        <w:rPr>
          <w:rFonts w:ascii="Times New Roman" w:hAnsi="Times New Roman"/>
          <w:color w:val="000000"/>
          <w:sz w:val="20"/>
        </w:rPr>
        <w:t>”</w:t>
      </w:r>
      <w:r>
        <w:rPr>
          <w:rFonts w:ascii="Times New Roman" w:hAnsi="Times New Roman"/>
          <w:color w:val="000000"/>
          <w:sz w:val="24"/>
        </w:rPr>
        <w:t xml:space="preserve">)), as evidenced by its being specified in </w:t>
      </w:r>
      <w:r>
        <w:rPr>
          <w:rFonts w:ascii="Times New Roman" w:hAnsi="Times New Roman"/>
          <w:color w:val="000000"/>
          <w:sz w:val="24"/>
          <w:u w:val="single"/>
        </w:rPr>
        <w:t>Schedule II-B</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Issuer Limited Use Free Writing Prospectus</w:t>
      </w:r>
      <w:r>
        <w:rPr>
          <w:rFonts w:ascii="Times New Roman" w:hAnsi="Times New Roman"/>
          <w:color w:val="000000"/>
          <w:sz w:val="20"/>
        </w:rPr>
        <w:t xml:space="preserve">” </w:t>
      </w:r>
      <w:r>
        <w:rPr>
          <w:rFonts w:ascii="Times New Roman" w:hAnsi="Times New Roman"/>
          <w:color w:val="000000"/>
          <w:sz w:val="24"/>
        </w:rPr>
        <w:t>means any Issuer Free Writing Prospectus that is not an Issuer General Use Free Writing Prospectus.</w:t>
      </w:r>
    </w:p>
    <w:p>
      <w:pPr>
        <w:pStyle w:val="TextBody"/>
        <w:bidi w:val="0"/>
        <w:spacing w:before="0" w:after="240"/>
        <w:jc w:val="both"/>
        <w:rPr/>
      </w:pPr>
      <w:r>
        <w:rPr>
          <w:color w:val="000000"/>
        </w:rPr>
        <w:t>“</w:t>
      </w:r>
      <w:r>
        <w:rPr>
          <w:rFonts w:ascii="Times New Roman" w:hAnsi="Times New Roman"/>
          <w:color w:val="000000"/>
          <w:sz w:val="24"/>
          <w:u w:val="single"/>
        </w:rPr>
        <w:t>IT Systems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3.1(uu).</w:t>
      </w:r>
    </w:p>
    <w:p>
      <w:pPr>
        <w:pStyle w:val="TextBody"/>
        <w:bidi w:val="0"/>
        <w:spacing w:before="0" w:after="240"/>
        <w:jc w:val="both"/>
        <w:rPr/>
      </w:pPr>
      <w:r>
        <w:rPr>
          <w:color w:val="000000"/>
        </w:rPr>
        <w:t>“</w:t>
      </w:r>
      <w:r>
        <w:rPr>
          <w:rFonts w:ascii="Times New Roman" w:hAnsi="Times New Roman"/>
          <w:color w:val="000000"/>
          <w:sz w:val="24"/>
          <w:u w:val="single"/>
        </w:rPr>
        <w:t>knowledge</w:t>
      </w:r>
      <w:r>
        <w:rPr>
          <w:rFonts w:ascii="Times New Roman" w:hAnsi="Times New Roman"/>
          <w:color w:val="000000"/>
          <w:sz w:val="20"/>
        </w:rPr>
        <w:t xml:space="preserve">” </w:t>
      </w:r>
      <w:r>
        <w:rPr>
          <w:rFonts w:ascii="Times New Roman" w:hAnsi="Times New Roman"/>
          <w:color w:val="000000"/>
          <w:sz w:val="24"/>
        </w:rPr>
        <w:t>means the actual knowledge of any of executive officers of the Company and its Subsidiaries, in each case after reasonable inquiry of officers, directors and employees of the Company and its Subsidiaries under such Person’s direct supervision who would reasonably be expected to have knowledge or information with respect to the matter in question.</w:t>
      </w:r>
    </w:p>
    <w:p>
      <w:pPr>
        <w:pStyle w:val="TextBody"/>
        <w:bidi w:val="0"/>
        <w:spacing w:before="0" w:after="240"/>
        <w:jc w:val="both"/>
        <w:rPr/>
      </w:pPr>
      <w:r>
        <w:rPr>
          <w:color w:val="000000"/>
        </w:rPr>
        <w:t>“</w:t>
      </w:r>
      <w:r>
        <w:rPr>
          <w:rFonts w:ascii="Times New Roman" w:hAnsi="Times New Roman"/>
          <w:color w:val="000000"/>
          <w:sz w:val="24"/>
          <w:u w:val="single"/>
        </w:rPr>
        <w:t>Liens</w:t>
      </w:r>
      <w:r>
        <w:rPr>
          <w:rFonts w:ascii="Times New Roman" w:hAnsi="Times New Roman"/>
          <w:color w:val="000000"/>
          <w:sz w:val="20"/>
        </w:rPr>
        <w:t xml:space="preserve">” </w:t>
      </w:r>
      <w:r>
        <w:rPr>
          <w:rFonts w:ascii="Times New Roman" w:hAnsi="Times New Roman"/>
          <w:color w:val="000000"/>
          <w:sz w:val="24"/>
        </w:rPr>
        <w:t>means a lien, charge, pledge, security interest, encumbrance, right of first refusal, preemptive right or other restriction.</w:t>
      </w:r>
    </w:p>
    <w:p>
      <w:pPr>
        <w:pStyle w:val="TextBody"/>
        <w:bidi w:val="0"/>
        <w:spacing w:before="0" w:after="240"/>
        <w:jc w:val="both"/>
        <w:rPr/>
      </w:pPr>
      <w:r>
        <w:rPr>
          <w:color w:val="000000"/>
        </w:rPr>
        <w:t>“</w:t>
      </w:r>
      <w:r>
        <w:rPr>
          <w:rFonts w:ascii="Times New Roman" w:hAnsi="Times New Roman"/>
          <w:color w:val="000000"/>
          <w:sz w:val="24"/>
          <w:u w:val="single"/>
        </w:rPr>
        <w:t>Lock-Up Agreements</w:t>
      </w:r>
      <w:r>
        <w:rPr>
          <w:rFonts w:ascii="Times New Roman" w:hAnsi="Times New Roman"/>
          <w:color w:val="000000"/>
          <w:sz w:val="20"/>
        </w:rPr>
        <w:t xml:space="preserve">” </w:t>
      </w:r>
      <w:r>
        <w:rPr>
          <w:rFonts w:ascii="Times New Roman" w:hAnsi="Times New Roman"/>
          <w:color w:val="000000"/>
          <w:sz w:val="24"/>
        </w:rPr>
        <w:t xml:space="preserve">means the lock-up agreements that are delivered by each of Lock-Up Parties, in substantially the form of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attached hereto.</w:t>
      </w:r>
    </w:p>
    <w:p>
      <w:pPr>
        <w:pStyle w:val="TextBody"/>
        <w:bidi w:val="0"/>
        <w:spacing w:before="0" w:after="240"/>
        <w:jc w:val="both"/>
        <w:rPr/>
      </w:pPr>
      <w:r>
        <w:rPr>
          <w:color w:val="000000"/>
        </w:rPr>
        <w:t>“</w:t>
      </w:r>
      <w:r>
        <w:rPr>
          <w:rFonts w:ascii="Times New Roman" w:hAnsi="Times New Roman"/>
          <w:color w:val="000000"/>
          <w:sz w:val="24"/>
          <w:u w:val="single"/>
        </w:rPr>
        <w:t>Lock-Up Parties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3.1(ww).</w:t>
      </w:r>
    </w:p>
    <w:p>
      <w:pPr>
        <w:pStyle w:val="TextBody"/>
        <w:bidi w:val="0"/>
        <w:spacing w:before="0" w:after="240"/>
        <w:jc w:val="both"/>
        <w:rPr/>
      </w:pPr>
      <w:r>
        <w:rPr>
          <w:color w:val="000000"/>
        </w:rPr>
        <w:t>“</w:t>
      </w:r>
      <w:r>
        <w:rPr>
          <w:rFonts w:ascii="Times New Roman" w:hAnsi="Times New Roman"/>
          <w:color w:val="000000"/>
          <w:sz w:val="24"/>
          <w:u w:val="single"/>
        </w:rPr>
        <w:t>Lock-Up Period</w:t>
      </w:r>
      <w:r>
        <w:rPr>
          <w:rFonts w:ascii="Times New Roman" w:hAnsi="Times New Roman"/>
          <w:color w:val="000000"/>
          <w:sz w:val="20"/>
        </w:rPr>
        <w:t xml:space="preserve">” </w:t>
      </w:r>
      <w:r>
        <w:rPr>
          <w:rFonts w:ascii="Times New Roman" w:hAnsi="Times New Roman"/>
          <w:color w:val="000000"/>
          <w:sz w:val="24"/>
        </w:rPr>
        <w:t>shall have the meaning ascribed to such term in Section 4.12(a).</w:t>
      </w:r>
    </w:p>
    <w:p>
      <w:pPr>
        <w:pStyle w:val="TextBody"/>
        <w:bidi w:val="0"/>
        <w:spacing w:before="0" w:after="240"/>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means (i) a material adverse effect on the legality, validity or enforceability of this Agreement,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this Agreement.</w:t>
      </w:r>
    </w:p>
    <w:p>
      <w:pPr>
        <w:pStyle w:val="TextBody"/>
        <w:bidi w:val="0"/>
        <w:spacing w:before="0" w:after="240"/>
        <w:jc w:val="both"/>
        <w:rPr/>
      </w:pPr>
      <w:r>
        <w:rPr>
          <w:color w:val="000000"/>
        </w:rPr>
        <w:t>“</w:t>
      </w:r>
      <w:r>
        <w:rPr>
          <w:rFonts w:ascii="Times New Roman" w:hAnsi="Times New Roman"/>
          <w:color w:val="000000"/>
          <w:sz w:val="24"/>
          <w:u w:val="single"/>
        </w:rPr>
        <w:t>Material Permit</w:t>
      </w:r>
      <w:r>
        <w:rPr>
          <w:rFonts w:ascii="Times New Roman" w:hAnsi="Times New Roman"/>
          <w:color w:val="000000"/>
          <w:sz w:val="20"/>
        </w:rPr>
        <w:t xml:space="preserve">” </w:t>
      </w:r>
      <w:r>
        <w:rPr>
          <w:rFonts w:ascii="Times New Roman" w:hAnsi="Times New Roman"/>
          <w:color w:val="000000"/>
          <w:sz w:val="24"/>
        </w:rPr>
        <w:t>has the meaning ascribed to such term in Section 3.1(o).</w:t>
      </w:r>
    </w:p>
    <w:p>
      <w:pPr>
        <w:pStyle w:val="TextBody"/>
        <w:bidi w:val="0"/>
        <w:spacing w:before="0" w:after="240"/>
        <w:jc w:val="both"/>
        <w:rPr/>
      </w:pPr>
      <w:r>
        <w:rPr>
          <w:color w:val="000000"/>
        </w:rPr>
        <w:t>“</w:t>
      </w:r>
      <w:r>
        <w:rPr>
          <w:rFonts w:ascii="Times New Roman" w:hAnsi="Times New Roman"/>
          <w:color w:val="000000"/>
          <w:sz w:val="24"/>
          <w:u w:val="single"/>
        </w:rPr>
        <w:t>Midwestern II Shares</w:t>
      </w:r>
      <w:r>
        <w:rPr>
          <w:rFonts w:ascii="Times New Roman" w:hAnsi="Times New Roman"/>
          <w:color w:val="000000"/>
          <w:sz w:val="20"/>
        </w:rPr>
        <w:t xml:space="preserve">” </w:t>
      </w:r>
      <w:r>
        <w:rPr>
          <w:rFonts w:ascii="Times New Roman" w:hAnsi="Times New Roman"/>
          <w:color w:val="000000"/>
          <w:sz w:val="24"/>
        </w:rPr>
        <w:t>has the meaning ascribed to such term in Section 4.12(b).</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Money Laundering Laws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3.1(gg).</w:t>
      </w:r>
    </w:p>
    <w:p>
      <w:pPr>
        <w:pStyle w:val="TextBody"/>
        <w:bidi w:val="0"/>
        <w:spacing w:before="0" w:after="240"/>
        <w:jc w:val="both"/>
        <w:rPr/>
      </w:pPr>
      <w:r>
        <w:rPr>
          <w:color w:val="000000"/>
        </w:rPr>
        <w:t>“</w:t>
      </w:r>
      <w:r>
        <w:rPr>
          <w:rFonts w:ascii="Times New Roman" w:hAnsi="Times New Roman"/>
          <w:color w:val="000000"/>
          <w:sz w:val="24"/>
          <w:u w:val="single"/>
        </w:rPr>
        <w:t>OFAC</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3.1(ee).</w:t>
      </w:r>
    </w:p>
    <w:p>
      <w:pPr>
        <w:pStyle w:val="TextBody"/>
        <w:bidi w:val="0"/>
        <w:spacing w:before="0" w:after="240"/>
        <w:jc w:val="both"/>
        <w:rPr/>
      </w:pPr>
      <w:r>
        <w:rPr>
          <w:color w:val="000000"/>
        </w:rPr>
        <w:t>“</w:t>
      </w:r>
      <w:r>
        <w:rPr>
          <w:rFonts w:ascii="Times New Roman" w:hAnsi="Times New Roman"/>
          <w:color w:val="000000"/>
          <w:sz w:val="24"/>
          <w:u w:val="single"/>
        </w:rPr>
        <w:t>Offering</w:t>
      </w:r>
      <w:r>
        <w:rPr>
          <w:rFonts w:ascii="Times New Roman" w:hAnsi="Times New Roman"/>
          <w:color w:val="000000"/>
          <w:sz w:val="20"/>
        </w:rPr>
        <w:t xml:space="preserve">” </w:t>
      </w:r>
      <w:r>
        <w:rPr>
          <w:rFonts w:ascii="Times New Roman" w:hAnsi="Times New Roman"/>
          <w:color w:val="000000"/>
          <w:sz w:val="24"/>
        </w:rPr>
        <w:t>shall have the meaning ascribed to such term in Section 2.1(c).</w:t>
      </w:r>
    </w:p>
    <w:p>
      <w:pPr>
        <w:pStyle w:val="TextBody"/>
        <w:bidi w:val="0"/>
        <w:spacing w:before="0" w:after="240"/>
        <w:jc w:val="both"/>
        <w:rPr/>
      </w:pPr>
      <w:r>
        <w:rPr>
          <w:color w:val="000000"/>
        </w:rPr>
        <w:t>“</w:t>
      </w:r>
      <w:r>
        <w:rPr>
          <w:rFonts w:ascii="Times New Roman" w:hAnsi="Times New Roman"/>
          <w:color w:val="000000"/>
          <w:sz w:val="24"/>
          <w:u w:val="single"/>
        </w:rPr>
        <w:t>Option Closing</w:t>
      </w:r>
      <w:r>
        <w:rPr>
          <w:rFonts w:ascii="Times New Roman" w:hAnsi="Times New Roman"/>
          <w:color w:val="000000"/>
          <w:sz w:val="20"/>
        </w:rPr>
        <w:t xml:space="preserve">” </w:t>
      </w:r>
      <w:r>
        <w:rPr>
          <w:rFonts w:ascii="Times New Roman" w:hAnsi="Times New Roman"/>
          <w:color w:val="000000"/>
          <w:sz w:val="24"/>
        </w:rPr>
        <w:t>means the closing of the purchase and sale of the Option Shares pursuant to Section 2.2.</w:t>
      </w:r>
    </w:p>
    <w:p>
      <w:pPr>
        <w:pStyle w:val="TextBody"/>
        <w:bidi w:val="0"/>
        <w:spacing w:before="0" w:after="240"/>
        <w:jc w:val="both"/>
        <w:rPr/>
      </w:pPr>
      <w:r>
        <w:rPr>
          <w:color w:val="000000"/>
        </w:rPr>
        <w:t>“</w:t>
      </w:r>
      <w:r>
        <w:rPr>
          <w:rFonts w:ascii="Times New Roman" w:hAnsi="Times New Roman"/>
          <w:color w:val="000000"/>
          <w:sz w:val="24"/>
          <w:u w:val="single"/>
        </w:rPr>
        <w:t>Option Closing Date</w:t>
      </w:r>
      <w:r>
        <w:rPr>
          <w:rFonts w:ascii="Times New Roman" w:hAnsi="Times New Roman"/>
          <w:color w:val="000000"/>
          <w:sz w:val="20"/>
        </w:rPr>
        <w:t xml:space="preserve">” </w:t>
      </w:r>
      <w:r>
        <w:rPr>
          <w:rFonts w:ascii="Times New Roman" w:hAnsi="Times New Roman"/>
          <w:color w:val="000000"/>
          <w:sz w:val="24"/>
        </w:rPr>
        <w:t>shall have the meaning ascribed to such term in Section 2.2(c).</w:t>
      </w:r>
    </w:p>
    <w:p>
      <w:pPr>
        <w:pStyle w:val="TextBody"/>
        <w:bidi w:val="0"/>
        <w:spacing w:before="0" w:after="240"/>
        <w:jc w:val="both"/>
        <w:rPr/>
      </w:pPr>
      <w:r>
        <w:rPr>
          <w:color w:val="000000"/>
        </w:rPr>
        <w:t>“</w:t>
      </w:r>
      <w:r>
        <w:rPr>
          <w:rFonts w:ascii="Times New Roman" w:hAnsi="Times New Roman"/>
          <w:color w:val="000000"/>
          <w:sz w:val="24"/>
          <w:u w:val="single"/>
        </w:rPr>
        <w:t>Option Closing Purchase Price</w:t>
      </w:r>
      <w:r>
        <w:rPr>
          <w:rFonts w:ascii="Times New Roman" w:hAnsi="Times New Roman"/>
          <w:color w:val="000000"/>
          <w:sz w:val="20"/>
        </w:rPr>
        <w:t xml:space="preserve">” </w:t>
      </w:r>
      <w:r>
        <w:rPr>
          <w:rFonts w:ascii="Times New Roman" w:hAnsi="Times New Roman"/>
          <w:color w:val="000000"/>
          <w:sz w:val="24"/>
        </w:rPr>
        <w:t>shall have the meaning ascribed to such term in Section 2.2(b), which aggregate purchase price shall be net of the underwriting discounts and commissions.</w:t>
      </w:r>
    </w:p>
    <w:p>
      <w:pPr>
        <w:pStyle w:val="TextBody"/>
        <w:bidi w:val="0"/>
        <w:spacing w:before="0" w:after="240"/>
        <w:jc w:val="both"/>
        <w:rPr/>
      </w:pPr>
      <w:r>
        <w:rPr>
          <w:color w:val="000000"/>
        </w:rPr>
        <w:t>“</w:t>
      </w:r>
      <w:r>
        <w:rPr>
          <w:rFonts w:ascii="Times New Roman" w:hAnsi="Times New Roman"/>
          <w:color w:val="000000"/>
          <w:sz w:val="24"/>
          <w:u w:val="single"/>
        </w:rPr>
        <w:t>Option Shares</w:t>
      </w:r>
      <w:r>
        <w:rPr>
          <w:rFonts w:ascii="Times New Roman" w:hAnsi="Times New Roman"/>
          <w:color w:val="000000"/>
          <w:sz w:val="20"/>
        </w:rPr>
        <w:t xml:space="preserve">” </w:t>
      </w:r>
      <w:r>
        <w:rPr>
          <w:rFonts w:ascii="Times New Roman" w:hAnsi="Times New Roman"/>
          <w:color w:val="000000"/>
          <w:sz w:val="24"/>
        </w:rPr>
        <w:t>shall have the meaning ascribed to such term in Section 2.2(a).</w:t>
      </w:r>
    </w:p>
    <w:p>
      <w:pPr>
        <w:pStyle w:val="TextBody"/>
        <w:bidi w:val="0"/>
        <w:spacing w:before="0" w:after="240"/>
        <w:jc w:val="both"/>
        <w:rPr/>
      </w:pPr>
      <w:r>
        <w:rPr>
          <w:color w:val="000000"/>
        </w:rPr>
        <w:t>“</w:t>
      </w:r>
      <w:r>
        <w:rPr>
          <w:rFonts w:ascii="Times New Roman" w:hAnsi="Times New Roman"/>
          <w:color w:val="000000"/>
          <w:sz w:val="24"/>
          <w:u w:val="single"/>
        </w:rPr>
        <w:t>Over-Allotment Option</w:t>
      </w:r>
      <w:r>
        <w:rPr>
          <w:rFonts w:ascii="Times New Roman" w:hAnsi="Times New Roman"/>
          <w:color w:val="000000"/>
          <w:sz w:val="20"/>
        </w:rPr>
        <w:t xml:space="preserve">” </w:t>
      </w:r>
      <w:r>
        <w:rPr>
          <w:rFonts w:ascii="Times New Roman" w:hAnsi="Times New Roman"/>
          <w:color w:val="000000"/>
          <w:sz w:val="24"/>
        </w:rPr>
        <w:t>shall have the meaning ascribed to such term in Section 2.2(a).</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240"/>
        <w:jc w:val="both"/>
        <w:rPr/>
      </w:pPr>
      <w:r>
        <w:rPr>
          <w:color w:val="000000"/>
        </w:rPr>
        <w:t>“</w:t>
      </w:r>
      <w:r>
        <w:rPr>
          <w:rFonts w:ascii="Times New Roman" w:hAnsi="Times New Roman"/>
          <w:color w:val="000000"/>
          <w:sz w:val="24"/>
          <w:u w:val="single"/>
        </w:rPr>
        <w:t>Personal Data</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3.1(tt).</w:t>
      </w:r>
    </w:p>
    <w:p>
      <w:pPr>
        <w:pStyle w:val="TextBody"/>
        <w:bidi w:val="0"/>
        <w:spacing w:before="0" w:after="240"/>
        <w:jc w:val="both"/>
        <w:rPr/>
      </w:pPr>
      <w:r>
        <w:rPr>
          <w:color w:val="000000"/>
        </w:rPr>
        <w:t>“</w:t>
      </w:r>
      <w:r>
        <w:rPr>
          <w:rFonts w:ascii="Times New Roman" w:hAnsi="Times New Roman"/>
          <w:color w:val="000000"/>
          <w:sz w:val="24"/>
          <w:u w:val="single"/>
        </w:rPr>
        <w:t>Policies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3.1(tt).</w:t>
      </w:r>
    </w:p>
    <w:p>
      <w:pPr>
        <w:pStyle w:val="TextBody"/>
        <w:bidi w:val="0"/>
        <w:spacing w:before="0" w:after="240"/>
        <w:jc w:val="both"/>
        <w:rPr/>
      </w:pPr>
      <w:r>
        <w:rPr>
          <w:color w:val="000000"/>
        </w:rPr>
        <w:t>“</w:t>
      </w:r>
      <w:r>
        <w:rPr>
          <w:rFonts w:ascii="Times New Roman" w:hAnsi="Times New Roman"/>
          <w:color w:val="000000"/>
          <w:sz w:val="24"/>
          <w:u w:val="single"/>
        </w:rPr>
        <w:t>Preliminary Prospectus</w:t>
      </w:r>
      <w:r>
        <w:rPr>
          <w:rFonts w:ascii="Times New Roman" w:hAnsi="Times New Roman"/>
          <w:color w:val="000000"/>
          <w:sz w:val="20"/>
        </w:rPr>
        <w:t xml:space="preserve">” </w:t>
      </w:r>
      <w:r>
        <w:rPr>
          <w:rFonts w:ascii="Times New Roman" w:hAnsi="Times New Roman"/>
          <w:color w:val="000000"/>
          <w:sz w:val="24"/>
        </w:rPr>
        <w:t>means, if any, any preliminary prospectus used prior to the effectiveness of the Registration Statement, and each prospectus that omitted the Rule 430A Information that was used after such effectiveness and prior to the execution and delivery of this Agreement.</w:t>
      </w:r>
    </w:p>
    <w:p>
      <w:pPr>
        <w:pStyle w:val="TextBody"/>
        <w:bidi w:val="0"/>
        <w:spacing w:before="0" w:after="240"/>
        <w:jc w:val="both"/>
        <w:rPr/>
      </w:pPr>
      <w:r>
        <w:rPr>
          <w:color w:val="000000"/>
        </w:rPr>
        <w:t>“</w:t>
      </w:r>
      <w:r>
        <w:rPr>
          <w:rFonts w:ascii="Times New Roman" w:hAnsi="Times New Roman"/>
          <w:color w:val="000000"/>
          <w:sz w:val="24"/>
          <w:u w:val="single"/>
        </w:rPr>
        <w:t>Pricing Disclosure Package</w:t>
      </w:r>
      <w:r>
        <w:rPr>
          <w:rFonts w:ascii="Times New Roman" w:hAnsi="Times New Roman"/>
          <w:color w:val="000000"/>
          <w:sz w:val="20"/>
        </w:rPr>
        <w:t xml:space="preserve">” </w:t>
      </w:r>
      <w:r>
        <w:rPr>
          <w:rFonts w:ascii="Times New Roman" w:hAnsi="Times New Roman"/>
          <w:color w:val="000000"/>
          <w:sz w:val="24"/>
        </w:rPr>
        <w:t xml:space="preserve">means any Issuer General Use Free Writing Prospectus issued at or prior to the Applicable Time, the Pricing Prospectus and the information included on </w:t>
      </w:r>
      <w:r>
        <w:rPr>
          <w:rFonts w:ascii="Times New Roman" w:hAnsi="Times New Roman"/>
          <w:color w:val="000000"/>
          <w:sz w:val="24"/>
          <w:u w:val="single"/>
        </w:rPr>
        <w:t>Schedule II-A</w:t>
      </w:r>
      <w:r>
        <w:rPr>
          <w:rFonts w:ascii="Times New Roman" w:hAnsi="Times New Roman"/>
          <w:color w:val="000000"/>
          <w:sz w:val="20"/>
        </w:rPr>
        <w:t xml:space="preserve"> </w:t>
      </w:r>
      <w:r>
        <w:rPr>
          <w:rFonts w:ascii="Times New Roman" w:hAnsi="Times New Roman"/>
          <w:color w:val="000000"/>
          <w:sz w:val="24"/>
        </w:rPr>
        <w:t>hereto, all considered together.</w:t>
      </w:r>
    </w:p>
    <w:p>
      <w:pPr>
        <w:pStyle w:val="TextBody"/>
        <w:bidi w:val="0"/>
        <w:spacing w:before="0" w:after="240"/>
        <w:jc w:val="both"/>
        <w:rPr/>
      </w:pPr>
      <w:r>
        <w:rPr>
          <w:color w:val="000000"/>
        </w:rPr>
        <w:t>“</w:t>
      </w:r>
      <w:r>
        <w:rPr>
          <w:rFonts w:ascii="Times New Roman" w:hAnsi="Times New Roman"/>
          <w:color w:val="000000"/>
          <w:sz w:val="24"/>
          <w:u w:val="single"/>
        </w:rPr>
        <w:t>Pricing Prospectus</w:t>
      </w:r>
      <w:r>
        <w:rPr>
          <w:rFonts w:ascii="Times New Roman" w:hAnsi="Times New Roman"/>
          <w:color w:val="000000"/>
          <w:sz w:val="20"/>
        </w:rPr>
        <w:t xml:space="preserve">” </w:t>
      </w:r>
      <w:r>
        <w:rPr>
          <w:rFonts w:ascii="Times New Roman" w:hAnsi="Times New Roman"/>
          <w:color w:val="000000"/>
          <w:sz w:val="24"/>
        </w:rPr>
        <w:t>means the Preliminary Prospectus, subject to completion, dated [], 2026, that was included in the Registration Statement immediately prior to the Applicable Time.</w:t>
      </w:r>
    </w:p>
    <w:p>
      <w:pPr>
        <w:pStyle w:val="TextBody"/>
        <w:bidi w:val="0"/>
        <w:spacing w:before="0" w:after="240"/>
        <w:jc w:val="both"/>
        <w:rPr/>
      </w:pPr>
      <w:r>
        <w:rPr>
          <w:color w:val="000000"/>
        </w:rPr>
        <w:t>“</w:t>
      </w:r>
      <w:r>
        <w:rPr>
          <w:rFonts w:ascii="Times New Roman" w:hAnsi="Times New Roman"/>
          <w:color w:val="000000"/>
          <w:sz w:val="24"/>
          <w:u w:val="single"/>
        </w:rPr>
        <w:t>Privacy Laws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3.1(tt).</w:t>
      </w:r>
    </w:p>
    <w:p>
      <w:pPr>
        <w:pStyle w:val="TextBody"/>
        <w:bidi w:val="0"/>
        <w:spacing w:before="0" w:after="240"/>
        <w:jc w:val="both"/>
        <w:rPr/>
      </w:pPr>
      <w:r>
        <w:rPr>
          <w:color w:val="000000"/>
        </w:rPr>
        <w:t>“</w:t>
      </w:r>
      <w:r>
        <w:rPr>
          <w:rFonts w:ascii="Times New Roman" w:hAnsi="Times New Roman"/>
          <w:color w:val="000000"/>
          <w:sz w:val="24"/>
          <w:u w:val="single"/>
        </w:rPr>
        <w:t>Proceeding</w:t>
      </w:r>
      <w:r>
        <w:rPr>
          <w:rFonts w:ascii="Times New Roman" w:hAnsi="Times New Roman"/>
          <w:color w:val="000000"/>
          <w:sz w:val="20"/>
        </w:rPr>
        <w:t xml:space="preserve">” </w:t>
      </w:r>
      <w:r>
        <w:rPr>
          <w:rFonts w:ascii="Times New Roman" w:hAnsi="Times New Roman"/>
          <w:color w:val="000000"/>
          <w:sz w:val="24"/>
        </w:rPr>
        <w:t>means an action, claim, suit, investigation or proceeding (including, without limitation, an informal investigation or partial proceeding, such as a deposition), whether commenced or, to the Company’s knowledge, threatened.</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Prospectus</w:t>
      </w:r>
      <w:r>
        <w:rPr>
          <w:rFonts w:ascii="Times New Roman" w:hAnsi="Times New Roman"/>
          <w:color w:val="000000"/>
          <w:sz w:val="20"/>
        </w:rPr>
        <w:t xml:space="preserve">” </w:t>
      </w:r>
      <w:r>
        <w:rPr>
          <w:rFonts w:ascii="Times New Roman" w:hAnsi="Times New Roman"/>
          <w:color w:val="000000"/>
          <w:sz w:val="24"/>
        </w:rPr>
        <w:t>means the final prospectus covering the Public Shares filed for the Registration Statement with the Commission pursuant to Rule 424(b).</w:t>
      </w:r>
    </w:p>
    <w:p>
      <w:pPr>
        <w:pStyle w:val="TextBody"/>
        <w:bidi w:val="0"/>
        <w:spacing w:before="0" w:after="240"/>
        <w:jc w:val="both"/>
        <w:rPr/>
      </w:pPr>
      <w:r>
        <w:rPr>
          <w:color w:val="000000"/>
        </w:rPr>
        <w:t>“</w:t>
      </w:r>
      <w:r>
        <w:rPr>
          <w:rFonts w:ascii="Times New Roman" w:hAnsi="Times New Roman"/>
          <w:color w:val="000000"/>
          <w:sz w:val="24"/>
          <w:u w:val="single"/>
        </w:rPr>
        <w:t>Public Shares</w:t>
      </w:r>
      <w:r>
        <w:rPr>
          <w:rFonts w:ascii="Times New Roman" w:hAnsi="Times New Roman"/>
          <w:color w:val="000000"/>
          <w:sz w:val="20"/>
        </w:rPr>
        <w:t xml:space="preserve">” </w:t>
      </w:r>
      <w:r>
        <w:rPr>
          <w:rFonts w:ascii="Times New Roman" w:hAnsi="Times New Roman"/>
          <w:color w:val="000000"/>
          <w:sz w:val="24"/>
        </w:rPr>
        <w:t>means, collectively, the Closing Shares and, if any, the Option Shares.</w:t>
      </w:r>
    </w:p>
    <w:p>
      <w:pPr>
        <w:pStyle w:val="TextBody"/>
        <w:bidi w:val="0"/>
        <w:spacing w:before="0" w:after="240"/>
        <w:jc w:val="both"/>
        <w:rPr/>
      </w:pPr>
      <w:r>
        <w:rPr>
          <w:color w:val="000000"/>
        </w:rPr>
        <w:t>“</w:t>
      </w:r>
      <w:r>
        <w:rPr>
          <w:rFonts w:ascii="Times New Roman" w:hAnsi="Times New Roman"/>
          <w:color w:val="000000"/>
          <w:sz w:val="24"/>
          <w:u w:val="single"/>
        </w:rPr>
        <w:t>Registration Statement</w:t>
      </w:r>
      <w:r>
        <w:rPr>
          <w:rFonts w:ascii="Times New Roman" w:hAnsi="Times New Roman"/>
          <w:color w:val="000000"/>
          <w:sz w:val="20"/>
        </w:rPr>
        <w:t xml:space="preserve">” </w:t>
      </w:r>
      <w:r>
        <w:rPr>
          <w:rFonts w:ascii="Times New Roman" w:hAnsi="Times New Roman"/>
          <w:color w:val="000000"/>
          <w:sz w:val="24"/>
        </w:rPr>
        <w:t>means, collectively, the various parts of the registration statement prepared by the Company on Form S-1 (File No. 333-296949) with respect to the Public Shares, each as amended as of the Execution Date, including the Prospectus, if any, the Preliminary Prospectus, if any, all exhibits or documents filed with or incorporated by reference into such registration statement, the Rule 430A Information, and any Rule 462(b) Registration Statement.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Required Approvals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3.1(e).</w:t>
      </w:r>
    </w:p>
    <w:p>
      <w:pPr>
        <w:pStyle w:val="TextBody"/>
        <w:bidi w:val="0"/>
        <w:spacing w:before="0" w:after="240"/>
        <w:jc w:val="both"/>
        <w:rPr/>
      </w:pPr>
      <w:r>
        <w:rPr>
          <w:color w:val="000000"/>
        </w:rPr>
        <w:t>“</w:t>
      </w:r>
      <w:r>
        <w:rPr>
          <w:rFonts w:ascii="Times New Roman" w:hAnsi="Times New Roman"/>
          <w:color w:val="000000"/>
          <w:sz w:val="24"/>
          <w:u w:val="single"/>
        </w:rPr>
        <w:t>Rule 424</w:t>
      </w:r>
      <w:r>
        <w:rPr>
          <w:rFonts w:ascii="Times New Roman" w:hAnsi="Times New Roman"/>
          <w:color w:val="000000"/>
          <w:sz w:val="20"/>
        </w:rPr>
        <w:t xml:space="preserve">” </w:t>
      </w:r>
      <w:r>
        <w:rPr>
          <w:rFonts w:ascii="Times New Roman" w:hAnsi="Times New Roman"/>
          <w:color w:val="000000"/>
          <w:sz w:val="24"/>
        </w:rPr>
        <w:t>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240"/>
        <w:jc w:val="both"/>
        <w:rPr/>
      </w:pPr>
      <w:r>
        <w:rPr>
          <w:color w:val="000000"/>
        </w:rPr>
        <w:t>“</w:t>
      </w:r>
      <w:r>
        <w:rPr>
          <w:rFonts w:ascii="Times New Roman" w:hAnsi="Times New Roman"/>
          <w:color w:val="000000"/>
          <w:sz w:val="24"/>
          <w:u w:val="single"/>
        </w:rPr>
        <w:t>Rule 430A Information</w:t>
      </w:r>
      <w:r>
        <w:rPr>
          <w:rFonts w:ascii="Times New Roman" w:hAnsi="Times New Roman"/>
          <w:color w:val="000000"/>
          <w:sz w:val="20"/>
        </w:rPr>
        <w:t xml:space="preserve">” </w:t>
      </w:r>
      <w:r>
        <w:rPr>
          <w:rFonts w:ascii="Times New Roman" w:hAnsi="Times New Roman"/>
          <w:color w:val="000000"/>
          <w:sz w:val="24"/>
        </w:rPr>
        <w:t>means all information deemed to be a part of the Registration Statement as of the Effective Date pursuant to paragraph (b) of Rule 430A of the Securities Act Regulations.</w:t>
      </w:r>
    </w:p>
    <w:p>
      <w:pPr>
        <w:pStyle w:val="TextBody"/>
        <w:bidi w:val="0"/>
        <w:spacing w:before="0" w:after="240"/>
        <w:jc w:val="both"/>
        <w:rPr/>
      </w:pPr>
      <w:r>
        <w:rPr>
          <w:color w:val="000000"/>
        </w:rPr>
        <w:t>“</w:t>
      </w:r>
      <w:r>
        <w:rPr>
          <w:rFonts w:ascii="Times New Roman" w:hAnsi="Times New Roman"/>
          <w:color w:val="000000"/>
          <w:sz w:val="24"/>
          <w:u w:val="single"/>
        </w:rPr>
        <w:t>Rule 462(b) Registration Statement</w:t>
      </w:r>
      <w:r>
        <w:rPr>
          <w:rFonts w:ascii="Times New Roman" w:hAnsi="Times New Roman"/>
          <w:color w:val="000000"/>
          <w:sz w:val="20"/>
        </w:rPr>
        <w:t xml:space="preserve">” </w:t>
      </w:r>
      <w:r>
        <w:rPr>
          <w:rFonts w:ascii="Times New Roman" w:hAnsi="Times New Roman"/>
          <w:color w:val="000000"/>
          <w:sz w:val="24"/>
        </w:rPr>
        <w:t>means any registration statement prepared by the Company registering the sale of additional Public Shares, which was filed with the Commission on or prior to the Execution Date and became automatically effective pursuant to Rule 462(b) promulgated by the Commission pursuant to the Securities Act.</w:t>
      </w:r>
    </w:p>
    <w:p>
      <w:pPr>
        <w:pStyle w:val="TextBody"/>
        <w:bidi w:val="0"/>
        <w:spacing w:before="0" w:after="240"/>
        <w:jc w:val="both"/>
        <w:rPr/>
      </w:pPr>
      <w:r>
        <w:rPr>
          <w:color w:val="000000"/>
        </w:rPr>
        <w:t>“</w:t>
      </w:r>
      <w:r>
        <w:rPr>
          <w:rFonts w:ascii="Times New Roman" w:hAnsi="Times New Roman"/>
          <w:color w:val="000000"/>
          <w:sz w:val="24"/>
          <w:u w:val="single"/>
        </w:rPr>
        <w:t>Sanctioned Country</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3.1(ee).</w:t>
      </w:r>
    </w:p>
    <w:p>
      <w:pPr>
        <w:pStyle w:val="TextBody"/>
        <w:bidi w:val="0"/>
        <w:spacing w:before="0" w:after="240"/>
        <w:jc w:val="both"/>
        <w:rPr/>
      </w:pPr>
      <w:r>
        <w:rPr>
          <w:color w:val="000000"/>
        </w:rPr>
        <w:t>“</w:t>
      </w:r>
      <w:r>
        <w:rPr>
          <w:rFonts w:ascii="Times New Roman" w:hAnsi="Times New Roman"/>
          <w:color w:val="000000"/>
          <w:sz w:val="24"/>
          <w:u w:val="single"/>
        </w:rPr>
        <w:t>Sanctions</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3.1(ee).</w:t>
      </w:r>
    </w:p>
    <w:p>
      <w:pPr>
        <w:pStyle w:val="TextBody"/>
        <w:bidi w:val="0"/>
        <w:spacing w:before="0" w:after="240"/>
        <w:jc w:val="both"/>
        <w:rPr/>
      </w:pPr>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Securities Act of 1933, as amended, and the rules and regulations promulgated thereunder.</w:t>
      </w:r>
    </w:p>
    <w:p>
      <w:pPr>
        <w:pStyle w:val="TextBody"/>
        <w:bidi w:val="0"/>
        <w:spacing w:before="0" w:after="240"/>
        <w:jc w:val="both"/>
        <w:rPr/>
      </w:pPr>
      <w:r>
        <w:rPr>
          <w:color w:val="000000"/>
        </w:rPr>
        <w:t>“</w:t>
      </w:r>
      <w:r>
        <w:rPr>
          <w:rFonts w:ascii="Times New Roman" w:hAnsi="Times New Roman"/>
          <w:color w:val="000000"/>
          <w:sz w:val="24"/>
          <w:u w:val="single"/>
        </w:rPr>
        <w:t>Selected Dealer</w:t>
      </w:r>
      <w:r>
        <w:rPr>
          <w:rFonts w:ascii="Times New Roman" w:hAnsi="Times New Roman"/>
          <w:color w:val="000000"/>
          <w:sz w:val="20"/>
        </w:rPr>
        <w:t xml:space="preserve">” </w:t>
      </w:r>
      <w:r>
        <w:rPr>
          <w:rFonts w:ascii="Times New Roman" w:hAnsi="Times New Roman"/>
          <w:color w:val="000000"/>
          <w:sz w:val="24"/>
        </w:rPr>
        <w:t>shall have the meaning ascribed to such term in Section 6.1.</w:t>
      </w:r>
    </w:p>
    <w:p>
      <w:pPr>
        <w:pStyle w:val="TextBody"/>
        <w:bidi w:val="0"/>
        <w:spacing w:before="0" w:after="240"/>
        <w:jc w:val="both"/>
        <w:rPr/>
      </w:pPr>
      <w:r>
        <w:rPr>
          <w:color w:val="000000"/>
        </w:rPr>
        <w:t>“</w:t>
      </w:r>
      <w:r>
        <w:rPr>
          <w:rFonts w:ascii="Times New Roman" w:hAnsi="Times New Roman"/>
          <w:color w:val="000000"/>
          <w:sz w:val="24"/>
          <w:u w:val="single"/>
        </w:rPr>
        <w:t>Share Purchase Price</w:t>
      </w:r>
      <w:r>
        <w:rPr>
          <w:rFonts w:ascii="Times New Roman" w:hAnsi="Times New Roman"/>
          <w:color w:val="000000"/>
          <w:sz w:val="20"/>
        </w:rPr>
        <w:t xml:space="preserve">” </w:t>
      </w:r>
      <w:r>
        <w:rPr>
          <w:rFonts w:ascii="Times New Roman" w:hAnsi="Times New Roman"/>
          <w:color w:val="000000"/>
          <w:sz w:val="24"/>
        </w:rPr>
        <w:t>shall have the meaning ascribed to such term in Section 2.1(b).</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any “significant subsidiary” (as defined in Rule 1-02 of Regulation S-X under the Securities Act) of the Company and shall, where applicable, also include any direct or indirect subsidiary of the Company formed or acquired after the Execution Date.</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Testing-the-Waters Communication</w:t>
      </w:r>
      <w:r>
        <w:rPr>
          <w:rFonts w:ascii="Times New Roman" w:hAnsi="Times New Roman"/>
          <w:color w:val="000000"/>
          <w:sz w:val="20"/>
        </w:rPr>
        <w:t xml:space="preserve">” </w:t>
      </w:r>
      <w:r>
        <w:rPr>
          <w:rFonts w:ascii="Times New Roman" w:hAnsi="Times New Roman"/>
          <w:color w:val="000000"/>
          <w:sz w:val="24"/>
        </w:rPr>
        <w:t>means any oral or written communication with potential investors undertaken in reliance on Section 5(d) of the Securities Act.</w:t>
      </w:r>
    </w:p>
    <w:p>
      <w:pPr>
        <w:pStyle w:val="TextBody"/>
        <w:bidi w:val="0"/>
        <w:spacing w:before="0" w:after="240"/>
        <w:jc w:val="both"/>
        <w:rPr/>
      </w:pPr>
      <w:r>
        <w:rPr>
          <w:color w:val="000000"/>
        </w:rPr>
        <w:t>“</w:t>
      </w:r>
      <w:r>
        <w:rPr>
          <w:rFonts w:ascii="Times New Roman" w:hAnsi="Times New Roman"/>
          <w:color w:val="000000"/>
          <w:sz w:val="24"/>
          <w:u w:val="single"/>
        </w:rPr>
        <w:t>Trading Day</w:t>
      </w:r>
      <w:r>
        <w:rPr>
          <w:rFonts w:ascii="Times New Roman" w:hAnsi="Times New Roman"/>
          <w:color w:val="000000"/>
          <w:sz w:val="20"/>
        </w:rPr>
        <w:t xml:space="preserve">” </w:t>
      </w:r>
      <w:r>
        <w:rPr>
          <w:rFonts w:ascii="Times New Roman" w:hAnsi="Times New Roman"/>
          <w:color w:val="000000"/>
          <w:sz w:val="24"/>
        </w:rPr>
        <w:t>means a day on which the principal Trading Market is open for trading.</w:t>
      </w:r>
    </w:p>
    <w:p>
      <w:pPr>
        <w:pStyle w:val="TextBody"/>
        <w:bidi w:val="0"/>
        <w:spacing w:before="0" w:after="240"/>
        <w:jc w:val="both"/>
        <w:rPr/>
      </w:pPr>
      <w:r>
        <w:rPr>
          <w:color w:val="000000"/>
        </w:rPr>
        <w:t>“</w:t>
      </w:r>
      <w:r>
        <w:rPr>
          <w:rFonts w:ascii="Times New Roman" w:hAnsi="Times New Roman"/>
          <w:color w:val="000000"/>
          <w:sz w:val="24"/>
          <w:u w:val="single"/>
        </w:rPr>
        <w:t>Trading Market</w:t>
      </w:r>
      <w:r>
        <w:rPr>
          <w:rFonts w:ascii="Times New Roman" w:hAnsi="Times New Roman"/>
          <w:color w:val="000000"/>
          <w:sz w:val="20"/>
        </w:rPr>
        <w:t xml:space="preserve">” </w:t>
      </w:r>
      <w:r>
        <w:rPr>
          <w:rFonts w:ascii="Times New Roman" w:hAnsi="Times New Roman"/>
          <w:color w:val="000000"/>
          <w:sz w:val="24"/>
        </w:rPr>
        <w:t>means the Nasdaq Global Select Market.</w:t>
      </w:r>
    </w:p>
    <w:p>
      <w:pPr>
        <w:pStyle w:val="TextBody"/>
        <w:bidi w:val="0"/>
        <w:spacing w:before="0" w:after="240"/>
        <w:jc w:val="both"/>
        <w:rPr/>
      </w:pPr>
      <w:r>
        <w:rPr>
          <w:color w:val="000000"/>
        </w:rPr>
        <w:t>“</w:t>
      </w:r>
      <w:r>
        <w:rPr>
          <w:rFonts w:ascii="Times New Roman" w:hAnsi="Times New Roman"/>
          <w:color w:val="000000"/>
          <w:sz w:val="24"/>
          <w:u w:val="single"/>
        </w:rPr>
        <w:t>Transfer Agent</w:t>
      </w:r>
      <w:r>
        <w:rPr>
          <w:rFonts w:ascii="Times New Roman" w:hAnsi="Times New Roman"/>
          <w:color w:val="000000"/>
          <w:sz w:val="20"/>
        </w:rPr>
        <w:t xml:space="preserve">” </w:t>
      </w:r>
      <w:r>
        <w:rPr>
          <w:rFonts w:ascii="Times New Roman" w:hAnsi="Times New Roman"/>
          <w:color w:val="000000"/>
          <w:sz w:val="24"/>
        </w:rPr>
        <w:t>means Fidelity Stock Transfer Solutions LLC, with offices located at 245 Summer Street, Boston, MA 02210, and any successor transfer agent of the Company.</w:t>
      </w:r>
    </w:p>
    <w:p>
      <w:pPr>
        <w:pStyle w:val="TextBody"/>
        <w:bidi w:val="0"/>
        <w:spacing w:before="0" w:after="240"/>
        <w:jc w:val="both"/>
        <w:rPr/>
      </w:pPr>
      <w:r>
        <w:rPr>
          <w:color w:val="000000"/>
        </w:rPr>
        <w:t>“</w:t>
      </w:r>
      <w:r>
        <w:rPr>
          <w:rFonts w:ascii="Times New Roman" w:hAnsi="Times New Roman"/>
          <w:color w:val="000000"/>
          <w:sz w:val="24"/>
          <w:u w:val="single"/>
        </w:rPr>
        <w:t>Underwriters’ Counsel</w:t>
      </w:r>
      <w:r>
        <w:rPr>
          <w:rFonts w:ascii="Times New Roman" w:hAnsi="Times New Roman"/>
          <w:color w:val="000000"/>
          <w:sz w:val="20"/>
        </w:rPr>
        <w:t xml:space="preserve">” </w:t>
      </w:r>
      <w:r>
        <w:rPr>
          <w:rFonts w:ascii="Times New Roman" w:hAnsi="Times New Roman"/>
          <w:color w:val="000000"/>
          <w:sz w:val="24"/>
        </w:rPr>
        <w:t>means Reed Smith LLP, with offices located at 1221 McKinney St # 2100, Houston, Texas 77010.</w:t>
      </w:r>
    </w:p>
    <w:p>
      <w:pPr>
        <w:pStyle w:val="TextBody"/>
        <w:bidi w:val="0"/>
        <w:spacing w:before="0" w:after="240"/>
        <w:jc w:val="both"/>
        <w:rPr/>
      </w:pPr>
      <w:r>
        <w:rPr>
          <w:color w:val="000000"/>
        </w:rPr>
        <w:t>“</w:t>
      </w:r>
      <w:r>
        <w:rPr>
          <w:rFonts w:ascii="Times New Roman" w:hAnsi="Times New Roman"/>
          <w:color w:val="000000"/>
          <w:sz w:val="24"/>
          <w:u w:val="single"/>
        </w:rPr>
        <w:t>Underwriters’ Information</w:t>
      </w:r>
      <w:r>
        <w:rPr>
          <w:rFonts w:ascii="Times New Roman" w:hAnsi="Times New Roman"/>
          <w:color w:val="000000"/>
          <w:sz w:val="20"/>
        </w:rPr>
        <w:t xml:space="preserve">” </w:t>
      </w:r>
      <w:r>
        <w:rPr>
          <w:rFonts w:ascii="Times New Roman" w:hAnsi="Times New Roman"/>
          <w:color w:val="000000"/>
          <w:sz w:val="24"/>
        </w:rPr>
        <w:t>shall have the meaning ascribed to such term in Section 3.1(y).</w:t>
      </w:r>
    </w:p>
    <w:p>
      <w:pPr>
        <w:pStyle w:val="TextBody"/>
        <w:bidi w:val="0"/>
        <w:jc w:val="center"/>
        <w:rPr>
          <w:rFonts w:ascii="Times New Roman" w:hAnsi="Times New Roman"/>
          <w:b/>
          <w:color w:val="000000"/>
          <w:sz w:val="24"/>
        </w:rPr>
      </w:pPr>
      <w:r>
        <w:rPr>
          <w:rFonts w:ascii="Times New Roman" w:hAnsi="Times New Roman"/>
          <w:b/>
          <w:color w:val="000000"/>
          <w:sz w:val="24"/>
        </w:rPr>
        <w:t>ARTICLE II.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PURCHASE AND SALE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color w:val="000000"/>
          <w:sz w:val="24"/>
          <w:u w:val="single"/>
        </w:rPr>
        <w:t>Closing</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Upon the terms and subject to the conditions set forth herein, the Company agrees to issue and sell to each of the Underwriters, and each Underwriter agrees, severally and not jointly, to purchase from the Company, at the Closing, the number of shares of Common Stock (the “</w:t>
      </w:r>
      <w:r>
        <w:rPr>
          <w:rFonts w:ascii="Times New Roman" w:hAnsi="Times New Roman"/>
          <w:color w:val="000000"/>
          <w:sz w:val="24"/>
          <w:u w:val="single"/>
        </w:rPr>
        <w:t>Closing Shares</w:t>
      </w:r>
      <w:r>
        <w:rPr>
          <w:color w:val="000000"/>
        </w:rPr>
        <w:t>”</w:t>
      </w:r>
      <w:r>
        <w:rPr>
          <w:rFonts w:ascii="Times New Roman" w:hAnsi="Times New Roman"/>
          <w:color w:val="000000"/>
          <w:sz w:val="24"/>
        </w:rPr>
        <w:t xml:space="preserve">) set forth opposite the name of such Underwriter on </w:t>
      </w:r>
      <w:r>
        <w:rPr>
          <w:rFonts w:ascii="Times New Roman" w:hAnsi="Times New Roman"/>
          <w:color w:val="000000"/>
          <w:sz w:val="24"/>
          <w:u w:val="single"/>
        </w:rPr>
        <w:t>Schedule I</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The aggregate purchase price for the Closing Shares shall equal the purchase price for one Closing Share of $[] per share (the “</w:t>
      </w:r>
      <w:r>
        <w:rPr>
          <w:rFonts w:ascii="Times New Roman" w:hAnsi="Times New Roman"/>
          <w:color w:val="000000"/>
          <w:sz w:val="24"/>
          <w:u w:val="single"/>
        </w:rPr>
        <w:t>Share Purchase Price</w:t>
      </w:r>
      <w:r>
        <w:rPr>
          <w:color w:val="000000"/>
        </w:rPr>
        <w:t>”</w:t>
      </w:r>
      <w:r>
        <w:rPr>
          <w:rFonts w:ascii="Times New Roman" w:hAnsi="Times New Roman"/>
          <w:color w:val="000000"/>
          <w:sz w:val="24"/>
        </w:rPr>
        <w:t xml:space="preserve">) multiplied by the amount set forth opposite the name of each Underwriter on </w:t>
      </w:r>
      <w:r>
        <w:rPr>
          <w:rFonts w:ascii="Times New Roman" w:hAnsi="Times New Roman"/>
          <w:color w:val="000000"/>
          <w:sz w:val="24"/>
          <w:u w:val="single"/>
        </w:rPr>
        <w:t>Schedule I</w:t>
      </w:r>
      <w:r>
        <w:rPr>
          <w:color w:val="000000"/>
        </w:rPr>
        <w:t xml:space="preserve"> </w:t>
      </w:r>
      <w:r>
        <w:rPr>
          <w:rFonts w:ascii="Times New Roman" w:hAnsi="Times New Roman"/>
          <w:color w:val="000000"/>
          <w:sz w:val="24"/>
        </w:rPr>
        <w:t>hereto (the “</w:t>
      </w:r>
      <w:r>
        <w:rPr>
          <w:rFonts w:ascii="Times New Roman" w:hAnsi="Times New Roman"/>
          <w:color w:val="000000"/>
          <w:sz w:val="24"/>
          <w:u w:val="single"/>
        </w:rPr>
        <w:t>Closing Purchase Price</w:t>
      </w:r>
      <w:r>
        <w:rPr>
          <w:color w:val="000000"/>
        </w:rPr>
        <w:t>”</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At [] a.m., New York City time on the Closing Date, or at such other time on the same or such other date, not later than [], 2026, as shall be agreed upon in writing by the Company and the Representatives, the Representatives shall deliver or cause to be delivered to the Company, via wire transfer, immediately available funds equal to the aggregate of the Closing Purchase Price to the account or accounts specified by the Company, and the Company shall deliver to, or as directed by, the Representatives the Closing Shares, and the Company shall deliver the other items required pursuant to Section 2.3 deliverable at the Closing. Upon satisfaction of the covenants and conditions set forth in Sections 2.3 and 2.4, the Closing shall occur at the offices of Underwriters’ Counsel or such other location (including remotely by electronic transmission) as the Company and the Representatives shall mutually agree. The Closing Shares are to be offered to the public at the offering price set forth on the cover page of the Prospectus (the “</w:t>
      </w:r>
      <w:r>
        <w:rPr>
          <w:rFonts w:ascii="Times New Roman" w:hAnsi="Times New Roman"/>
          <w:color w:val="000000"/>
          <w:sz w:val="24"/>
          <w:u w:val="single"/>
        </w:rPr>
        <w:t>Offering</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pPr>
      <w:r>
        <w:rPr>
          <w:rFonts w:ascii="Times New Roman" w:hAnsi="Times New Roman"/>
          <w:color w:val="000000"/>
          <w:sz w:val="24"/>
          <w:u w:val="single"/>
        </w:rPr>
        <w:t>Over-Allotment Option</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For the purposes of covering any over-allotments in connection with the distribution and sale of the Closing Shares, the Underwriters are hereby granted an option (the “</w:t>
      </w:r>
      <w:r>
        <w:rPr>
          <w:rFonts w:ascii="Times New Roman" w:hAnsi="Times New Roman"/>
          <w:color w:val="000000"/>
          <w:sz w:val="24"/>
          <w:u w:val="single"/>
        </w:rPr>
        <w:t>Over-Allotment Option</w:t>
      </w:r>
      <w:r>
        <w:rPr>
          <w:color w:val="000000"/>
        </w:rPr>
        <w:t>”</w:t>
      </w:r>
      <w:r>
        <w:rPr>
          <w:rFonts w:ascii="Times New Roman" w:hAnsi="Times New Roman"/>
          <w:color w:val="000000"/>
          <w:sz w:val="24"/>
        </w:rPr>
        <w:t>) to purchase, in the aggregate, up to [] shares of Common Stock (the “</w:t>
      </w:r>
      <w:r>
        <w:rPr>
          <w:rFonts w:ascii="Times New Roman" w:hAnsi="Times New Roman"/>
          <w:color w:val="000000"/>
          <w:sz w:val="24"/>
          <w:u w:val="single"/>
        </w:rPr>
        <w:t>Option Shares</w:t>
      </w:r>
      <w:r>
        <w:rPr>
          <w:color w:val="000000"/>
        </w:rPr>
        <w:t>”</w:t>
      </w:r>
      <w:r>
        <w:rPr>
          <w:rFonts w:ascii="Times New Roman" w:hAnsi="Times New Roman"/>
          <w:color w:val="000000"/>
          <w:sz w:val="24"/>
        </w:rPr>
        <w:t>) at the Share Purchase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In connection with an exercise of the Over-Allotment Option, the purchase price to be paid for the Option Shares is equal to the product of the Share Purchase Price multiplied by the number of Option Shares to be purchased (the aggregate purchase price to be paid on an Option Closing Date, the “</w:t>
      </w:r>
      <w:r>
        <w:rPr>
          <w:rFonts w:ascii="Times New Roman" w:hAnsi="Times New Roman"/>
          <w:color w:val="000000"/>
          <w:sz w:val="24"/>
          <w:u w:val="single"/>
        </w:rPr>
        <w:t>Option Closing Purchase Price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The Over-Allotment Option granted pursuant to this Section 2.2 may be exercised by the Representatives as to all (at any time) or any part (from time to time) of the Option Shares within 30 days after the Execution Date. An Underwriter will not be under any obligation to purchase any Option Shares prior to the exercise of the Over-Allotment Option by the Representatives. The Over-Allotment Option granted hereby may be exercised by the giving of written notice to the Company from the Representatives setting forth the number of Option Shares to be purchased and the date and time for delivery of and payment for the Option Shares (each, an “</w:t>
      </w:r>
      <w:r>
        <w:rPr>
          <w:rFonts w:ascii="Times New Roman" w:hAnsi="Times New Roman"/>
          <w:color w:val="000000"/>
          <w:sz w:val="24"/>
          <w:u w:val="single"/>
        </w:rPr>
        <w:t>Option Closing Date</w:t>
      </w:r>
      <w:r>
        <w:rPr>
          <w:color w:val="000000"/>
        </w:rPr>
        <w:t>”</w:t>
      </w:r>
      <w:r>
        <w:rPr>
          <w:rFonts w:ascii="Times New Roman" w:hAnsi="Times New Roman"/>
          <w:color w:val="000000"/>
          <w:sz w:val="24"/>
        </w:rPr>
        <w:t>), which must be at least one (1) Trading Day after such written notice is given and may not be earlier than the Closing Date or later than 10:00 a.m., New York City time, on the second (2</w:t>
      </w:r>
      <w:r>
        <w:rPr>
          <w:rFonts w:ascii="Times New Roman" w:hAnsi="Times New Roman"/>
          <w:color w:val="000000"/>
          <w:sz w:val="16"/>
        </w:rPr>
        <w:t>nd</w:t>
      </w:r>
      <w:r>
        <w:rPr>
          <w:rFonts w:ascii="Times New Roman" w:hAnsi="Times New Roman"/>
          <w:color w:val="000000"/>
          <w:sz w:val="24"/>
        </w:rPr>
        <w:t>) Trading Day after the date of the notice or such other time as shall be agreed upon by the Company and the Representatives, at the offices of Underwriters’ Counsel</w:t>
      </w:r>
      <w:r>
        <w:rPr>
          <w:color w:val="000000"/>
        </w:rPr>
        <w:t xml:space="preserve"> </w:t>
      </w:r>
      <w:r>
        <w:rPr>
          <w:rFonts w:ascii="Times New Roman" w:hAnsi="Times New Roman"/>
          <w:color w:val="000000"/>
          <w:sz w:val="24"/>
        </w:rPr>
        <w:t xml:space="preserve">or at such other location (including remotely by electronic transmission) as shall be agreed upon by the Company and the Representatives. If such delivery and payment for the Option Shares does not occur on the Closing Date, each Option Closing Date will be as set forth in the notice. Upon exercise of the Over-Allotment Option, the Company will become obligated to convey to the Underwriters, and, subject to the terms and conditions set forth herein, each of the Underwriters, acting severally and not jointly, will become obligated to purchase, the number of Option Shares specified in such notice. The Representatives may cancel the Over-Allotment Option at any time prior to the expiration of the Over-Allotment Option by written notice to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pPr>
      <w:r>
        <w:rPr>
          <w:rFonts w:ascii="Times New Roman" w:hAnsi="Times New Roman"/>
          <w:color w:val="000000"/>
          <w:sz w:val="24"/>
          <w:u w:val="single"/>
        </w:rPr>
        <w:t>Deliveries</w:t>
      </w:r>
      <w:r>
        <w:rPr>
          <w:rFonts w:ascii="Times New Roman" w:hAnsi="Times New Roman"/>
          <w:color w:val="000000"/>
          <w:sz w:val="24"/>
        </w:rPr>
        <w:t>. The Company, Underwriters’ Counsel or the Company Auditor, as applicable,</w:t>
      </w:r>
      <w:r>
        <w:rPr>
          <w:color w:val="000000"/>
        </w:rPr>
        <w:t xml:space="preserve"> </w:t>
      </w:r>
      <w:r>
        <w:rPr>
          <w:rFonts w:ascii="Times New Roman" w:hAnsi="Times New Roman"/>
          <w:color w:val="000000"/>
          <w:sz w:val="24"/>
        </w:rPr>
        <w:t>shall deliver or cause to be delivered to each Underwriter (if applicable)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the Closing Date, the Closing Shares and, as to each Option Closing Date, if any, the applicable Option Shares, which shares shall be delivered to the Representatives via the Depository Trust Company’s Deposit or Withdrawal at Custodian system for the accounts of the several Underwriters;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the Closing Date, a legal opinion and negative assurance letter of Company Counsel addressed to the Underwriters in the form and substance reasonably satisfactory to the Representatives, and as to each Option Closing Date, if any, bring-down opinions and negative assurance letters from Company Counsel addressed to the Underwriters in form and substance reasonably satisfactory to the Representatives;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At the Closing Date, a legal opinion and negative assurance letter of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Underwriters’ Counsel addressed to the Underwriters in the form and substance satisfactory in all respects to the Representatives, and as to each Option Closing Date, if any, bring-down opinions and negative assurance letters from Underwriters’ Counsel addressed to the Underwriters in the form and substance satisfactory in all respects to the Representatives;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Execution Date, a cold comfort letter, addressed to the Underwriters and in form and substance satisfactory in all respects to the Representatives from the Company Auditor dated as of the date of this Agreement and, on the Closing Date and each Option Closing Date, if any, a bring-down cold comfort letter dated as of the Closing Date and each Option Closing Date, respectively;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Closing Date and on each Option Closing Date, if any, the duly executed and delivered Officer’s Certificate of the Company’s Chief Executive Officer, satisfactory to the Representatives as to the accuracy of the representations and warranties of the Company herein at and as of the Closing Date and on each Option Closing Date, as the case may be, that the Company has complied with all of the agreements and satisfied all of the conditions on its part to be performed or satisfied hereunder on or before such Closing Date or Option Closing Date, including the matters set forth in Sections 2.4(a), 2.4(b), and 2.4(f) herein, and as to such other matters as the Representatives may reasonably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Closing Date and on each Option Closing Date, if any, the duly executed and delivered Secretary’s Certificate, in form and substance reasonably satisfactory to the Representatives;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to or on the Execution Date, the duly executed and delivered Lock-Up Agreements dated as of the Closing Date;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both"/>
        <w:rPr/>
      </w:pPr>
      <w:r>
        <w:rPr>
          <w:rFonts w:ascii="Times New Roman" w:hAnsi="Times New Roman"/>
          <w:color w:val="000000"/>
          <w:sz w:val="24"/>
          <w:u w:val="single"/>
        </w:rPr>
        <w:t>Closing Conditions</w:t>
      </w:r>
      <w:r>
        <w:rPr>
          <w:rFonts w:ascii="Times New Roman" w:hAnsi="Times New Roman"/>
          <w:color w:val="000000"/>
          <w:sz w:val="24"/>
        </w:rPr>
        <w:t>. The respective obligations of each Underwriter hereunder in connection with the Closing and each Option Closing Date are subject to the following conditions being met: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accuracy in all material respects when made and on the date in question (other than representations and warranties of the Company already qualified by materiality, which shall be true and correct in all respects) of the representations and warranties of the Company contained herein (unless as of a specific date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obligations, covenants and agreements of the Company required to be performed at or prior to the date in question shall have been performed;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delivery by the Company, the Company Counsel, the Company Auditor, and Underwriters’ Counsel, as applicable, of the items set forth in Section 2.3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Registration Statement shall be effective as of the date of this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and at each of the Closing Date and each Option Closing Date, if any, no stop order suspending the effectiveness of the Registration Statement shall have been issued and no proceedings for that purpose shall have been instituted or shall be pending or, to the Company’s knowledge, threatened by the Commission and any request on the part of the Commission for additional information shall have been complied with to the reasonable satisfaction of the Representatives;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the Execution Date, FINRA shall have raised no objections as to the amount of compensation allowable or payable to the Underwriters as described in the Registration 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to and on each of the Closing Date and each Option Closing Date, if any: (i) there shall have been no material adverse change or development involving a prospective material adverse change in the condition or the business activities, financial or otherwise, of the Company from the latest dates as of which such condition is set forth in the Registration Statement and Prospectus; (ii) no action suit or proceeding, at law or in equity, shall have been pending or threatened in writing against the Company or any Subsidiary of the Company before or by any court or federal or state commission, board or other administrative agency wherein an unfavorable decision, ruling or finding would reasonably be expected to result in a Material Adverse Effect; (iii) no stop order shall have been issued under the Securities Act and no proceedings therefor shall have been initiated or threatened in writing by the Commission; and (iv) the Registration Statement and the Prospectus and any amendments or supplements thereto shall contain all material statements which are required to be stated therein in accordance with the Securities Act and the rules and regulations thereunder and shall conform in all material respects to the requirements of the Securities Act and the rules and regulations thereunder, and neither the Registration Statement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pStyle w:val="TextBody"/>
        <w:bidi w:val="0"/>
        <w:jc w:val="center"/>
        <w:rPr>
          <w:rFonts w:ascii="Times New Roman" w:hAnsi="Times New Roman"/>
          <w:b/>
          <w:color w:val="000000"/>
          <w:sz w:val="24"/>
        </w:rPr>
      </w:pPr>
      <w:r>
        <w:rPr>
          <w:rFonts w:ascii="Times New Roman" w:hAnsi="Times New Roman"/>
          <w:b/>
          <w:color w:val="000000"/>
          <w:sz w:val="24"/>
        </w:rPr>
        <w:t>ARTICLE III.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REPRESENTATIONS AND WARRANTIES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pPr>
      <w:r>
        <w:rPr>
          <w:rFonts w:ascii="Times New Roman" w:hAnsi="Times New Roman"/>
          <w:color w:val="000000"/>
          <w:sz w:val="24"/>
          <w:u w:val="single"/>
        </w:rPr>
        <w:t>Representations and Warranties of the Company</w:t>
      </w:r>
      <w:r>
        <w:rPr>
          <w:rFonts w:ascii="Times New Roman" w:hAnsi="Times New Roman"/>
          <w:color w:val="000000"/>
          <w:sz w:val="24"/>
        </w:rPr>
        <w:t>. The Company represents and warrants to the Underwriters as of the Execution Date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Subsidiaries</w:t>
      </w:r>
      <w:r>
        <w:rPr>
          <w:rFonts w:ascii="Times New Roman" w:hAnsi="Times New Roman"/>
          <w:color w:val="000000"/>
          <w:sz w:val="24"/>
        </w:rPr>
        <w:t xml:space="preserve">. All of the Subsidiaries of the Company are set forth in the Registration Statement, the Pricing Disclosure Package, and the Prospectus. The Company owns a consolidating interest in each Subsidiary and such interests are free and clear of any Liens. All of the issued and outstanding shares of capital stock of each Subsidiary owned, directly or indirectly, by the Company are validly issued and are fully paid, non-assessable and free of preemptive and similar rights to subscribe for or purchase securities.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Organization and Qualification</w:t>
      </w:r>
      <w:r>
        <w:rPr>
          <w:rFonts w:ascii="Times New Roman" w:hAnsi="Times New Roman"/>
          <w:color w:val="000000"/>
          <w:sz w:val="24"/>
        </w:rPr>
        <w:t xml:space="preserve">. The Company and each of the Subsidiaries is an entity duly incorporated or otherwise organized, validly existing and in good standing under the laws of the jurisdiction of their incorporation or organization (to the extent the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concept of good standing or an equivalent concept is applicable in such jurisdiction), with the requisite power and authority to own and use their properties and assets and to carry on their business as currently conducted, except to the extent that the failure to be so qualified, be in good standing, or have such requisite power and authority would not reasonably be expected to result in a Material Adverse Effect, as the case may be.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reasonably be expected to result in a Material Adverse Effect and no Proceeding has been instituted in any such jurisdiction revoking, limiting or curtailing or seeking to revoke, limit or curtail such power and authority or qualification of the Company, except to the extent that such Proceeding could not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Authorization; Enforcement</w:t>
      </w:r>
      <w:r>
        <w:rPr>
          <w:rFonts w:ascii="Times New Roman" w:hAnsi="Times New Roman"/>
          <w:color w:val="000000"/>
          <w:sz w:val="24"/>
        </w:rPr>
        <w:t>. The Company has the requisite corporate power and authority to enter into and to consummate the transactions contemplated by this Agreement and otherwise to carry out its obligations hereunder. The execution and delivery of this Agreement and the consummation by it of the transactions contemplated hereby have been duly authorized by all necessary action on the part of the Company and no further action is required by the Company, the Board of Directors or the Company’s stockholders in connection herewith other than in connection with the Required Approvals. This Agreement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No Conflicts</w:t>
      </w:r>
      <w:r>
        <w:rPr>
          <w:rFonts w:ascii="Times New Roman" w:hAnsi="Times New Roman"/>
          <w:color w:val="000000"/>
          <w:sz w:val="24"/>
        </w:rPr>
        <w:t xml:space="preserve">. The execution, delivery and performance by the Company of this Agreement, the issuance and sale of the Public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material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material property or asset of the Company or any Subsidiary is bound or affected, or (iii) subject to the Required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material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color w:val="000000"/>
          <w:sz w:val="24"/>
          <w:u w:val="single"/>
        </w:rPr>
        <w:t>Filings, Consents and Approvals</w:t>
      </w:r>
      <w:r>
        <w:rPr>
          <w:rFonts w:ascii="Times New Roman" w:hAnsi="Times New Roman"/>
          <w:color w:val="000000"/>
          <w:sz w:val="24"/>
        </w:rPr>
        <w:t>. Other than</w:t>
      </w:r>
      <w:r>
        <w:rPr>
          <w:color w:val="000000"/>
        </w:rPr>
        <w:t xml:space="preserve"> </w:t>
      </w:r>
      <w:r>
        <w:rPr>
          <w:rFonts w:ascii="Times New Roman" w:hAnsi="Times New Roman"/>
          <w:color w:val="000000"/>
          <w:sz w:val="24"/>
        </w:rPr>
        <w:t>(i) the filing with the Commission of the Prospectus, and (ii) such filings as are required to be made under applicable federal and state securities laws and the rules and regulations of FINRA (collectively, the “</w:t>
      </w:r>
      <w:r>
        <w:rPr>
          <w:rFonts w:ascii="Times New Roman" w:hAnsi="Times New Roman"/>
          <w:color w:val="000000"/>
          <w:sz w:val="24"/>
          <w:u w:val="single"/>
        </w:rPr>
        <w:t>Required Approvals</w:t>
      </w:r>
      <w:r>
        <w:rPr>
          <w:color w:val="000000"/>
        </w:rPr>
        <w:t>”</w:t>
      </w:r>
      <w:r>
        <w:rPr>
          <w:rFonts w:ascii="Times New Roman" w:hAnsi="Times New Roman"/>
          <w:color w:val="000000"/>
          <w:sz w:val="24"/>
        </w:rPr>
        <w:t>), the Company is not required to obtain any consent, approval, waiver, authorization or order of, give any notice to, or make any filing or registration with, any court or other federal, state, local or other governmental authority or other Person in connection with the execution, delivery and performance by the Company of this Agreement, the issue and sale of the Public Shares, except such as could not have or reasonably be expected to result in a Material Adverse Effect.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0"/>
        <w:jc w:val="both"/>
        <w:rPr/>
      </w:pPr>
      <w:r>
        <w:rPr>
          <w:rFonts w:ascii="Times New Roman" w:hAnsi="Times New Roman"/>
          <w:color w:val="000000"/>
          <w:sz w:val="24"/>
          <w:u w:val="single"/>
        </w:rPr>
        <w:t>Registration Statement</w:t>
      </w:r>
      <w:r>
        <w:rPr>
          <w:rFonts w:ascii="Times New Roman" w:hAnsi="Times New Roman"/>
          <w:color w:val="000000"/>
          <w:sz w:val="24"/>
        </w:rPr>
        <w:t>. The Company has filed with the Commission the Registration Statement, including any related Preliminary Prospectus or Prospectus, for the registration of the Public Shares under the Securities Act, which Registration Statement has been prepared by the Company in all material respects in conformity with the requirements of the Securities Act and the rules and regulations of the Commission under the Securities Act. The Registration Statement has been declared effective by the Commission on the Execution Date or become effective on the twentieth (20</w:t>
      </w:r>
      <w:r>
        <w:rPr>
          <w:rFonts w:ascii="Times New Roman" w:hAnsi="Times New Roman"/>
          <w:color w:val="000000"/>
          <w:sz w:val="16"/>
        </w:rPr>
        <w:t>th</w:t>
      </w:r>
      <w:r>
        <w:rPr>
          <w:rFonts w:ascii="Times New Roman" w:hAnsi="Times New Roman"/>
          <w:color w:val="000000"/>
          <w:sz w:val="24"/>
        </w:rPr>
        <w:t>) day after the filing thereof in lieu of effectiveness by order of the Commission (the “</w:t>
      </w:r>
      <w:r>
        <w:rPr>
          <w:rFonts w:ascii="Times New Roman" w:hAnsi="Times New Roman"/>
          <w:color w:val="000000"/>
          <w:sz w:val="24"/>
          <w:u w:val="single"/>
        </w:rPr>
        <w:t>Effective Date</w:t>
      </w:r>
      <w:r>
        <w:rPr>
          <w:color w:val="000000"/>
        </w:rPr>
        <w:t>”</w:t>
      </w:r>
      <w:r>
        <w:rPr>
          <w:rFonts w:ascii="Times New Roman" w:hAnsi="Times New Roman"/>
          <w:color w:val="000000"/>
          <w:sz w:val="24"/>
        </w:rPr>
        <w:t xml:space="preserve">). The Company has taken no action designed to terminate, or which reasonably could be expected to have the effect of terminating, the registration of shares of Common Stock under the Exchange Act, nor has the Company received any notification in writing that the Commission is contemplating terminating such registration. No stop order suspending the effectiveness of the Registration Statement or the use of the Prospectus has been issued, and no proceeding for any such purpose is pending or has been initiated or, to the Company’s knowledge, is threatened in writing by the Commission.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Issuance of Securities</w:t>
      </w:r>
      <w:r>
        <w:rPr>
          <w:rFonts w:ascii="Times New Roman" w:hAnsi="Times New Roman"/>
          <w:color w:val="000000"/>
          <w:sz w:val="24"/>
        </w:rPr>
        <w:t xml:space="preserve">. The Public Shares have been duly authorized for issuance and sale and, when issued and paid for will be validly issued, fully paid and non-assessable. All corporate action required to be taken for the authorization, issuance and sale of the Public Shares has been duly and validly taken. Except as described in each of the Registration Statement, the Pricing Disclosure Package and the Prospectus, (i) the issuance and sale of the Public Shares will not obligate the Company to issue shares of Common Stock or other securities to any Person (other than the Underwriters) and (ii) the Public Shares are not and will not be subject to the preemptive rights of any holders of any security of the Company or similar contractual rights granted by the Company. The Public Shares conform in all material respects to all statements with respect thereto contained in the Registration Statement, the Pricing Disclosure Package, and the Prospectus.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Capitalization</w:t>
      </w:r>
      <w:r>
        <w:rPr>
          <w:rFonts w:ascii="Times New Roman" w:hAnsi="Times New Roman"/>
          <w:color w:val="000000"/>
          <w:sz w:val="24"/>
        </w:rPr>
        <w:t xml:space="preserve">. The capitalization of the Company is in all material respects as set forth in the Registration Statement, the Pricing Disclosure Package, and the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Prospectus. No Person has any right of first refusal, preemptive right, right of participation, or any similar right to participate in the transactions contemplated by this Agreement. Except as set forth in the Registration Statement, the Pricing Disclosure Package, and the Prospectus,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Except as set forth in the Registration Statement, the Pricing Disclosure Package, and the Prospectus, there are no outstanding securities or instruments of the Company or any Subsidiary with any provision that adjusts the exercise, conversion, exchange or reset price of such security or instrument upon an issuance of securities by the Company or any Subsidiary.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The authorized shares of the Company and the Public Shares conform in all material respects to all statements relating thereto contained in the Registration Statement, the Pricing Disclosure Package, and the Prospectus. The offers and sales of the Company’s securities were at all relevant times either registered under the Securities Act and the applicable state securities or “blue sky” laws or, based in part on the representations and warranties of the purchasers, exempt from such registration requirements. There are no stockholders agreements, voting agreements or other similar agreements with respect to the Company’s capital stock to which the Company is a party or, to the knowledge of the Company, between or among any of the Company’s stockholders. Subsequent to the respective dates as of which information is given in each of the Registration Statement, the Pricing Disclosure Package, and the Prospectus, the Company has not issued any capital stock other than pursuant to the exercise of employee stock options or the vesting of restricted stock units under the Company’s equity incentive plans.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Registration Rights of Third Parties</w:t>
      </w:r>
      <w:r>
        <w:rPr>
          <w:rFonts w:ascii="Times New Roman" w:hAnsi="Times New Roman"/>
          <w:color w:val="000000"/>
          <w:sz w:val="24"/>
        </w:rPr>
        <w:t>. Except as set forth in the Registration Statement, the Pricing Disclosure Package, and the Prospectus, no holders of any securities of the Company or any rights exercisable for or convertible or exchangeable into securities of the Company have the right to require the Company to register any such securities of the Company under the Securities Act or to include any such securities in a registration statement to be filed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Financial Statements</w:t>
      </w:r>
      <w:r>
        <w:rPr>
          <w:rFonts w:ascii="Times New Roman" w:hAnsi="Times New Roman"/>
          <w:color w:val="000000"/>
          <w:sz w:val="24"/>
        </w:rPr>
        <w:t>. The financial statements, including the notes thereto and supporting schedules included in the Registration Statement, the Pricing Disclosure Package and the Prospectus, fairly present in all material respects the financial position and the results of operations of the Company at the dates and for the periods to which they apply; and such financial statements have been prepared in conformity with U.S. generally accepted accounting principles (“</w:t>
      </w:r>
      <w:r>
        <w:rPr>
          <w:rFonts w:ascii="Times New Roman" w:hAnsi="Times New Roman"/>
          <w:color w:val="000000"/>
          <w:sz w:val="24"/>
          <w:u w:val="single"/>
        </w:rPr>
        <w:t>GAAP</w:t>
      </w:r>
      <w:r>
        <w:rPr>
          <w:color w:val="000000"/>
        </w:rPr>
        <w:t>”</w:t>
      </w:r>
      <w:r>
        <w:rPr>
          <w:rFonts w:ascii="Times New Roman" w:hAnsi="Times New Roman"/>
          <w:color w:val="000000"/>
          <w:sz w:val="24"/>
        </w:rPr>
        <w:t xml:space="preserve">), consistently applied throughout the periods involved (except for any normal year-end audit adjustments in the quarterly unaudited interim financial statements); and the supporting schedules included in the Registration Statement present fairly in all material respects the information required to be stated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therein. Except as included therein, no historical or pro forma financial statements are required to be included in the Registration Statement, the Pricing Disclosure Package or the Prospectus under the Securities Act or the Securities Act Regulations. The pro forma and pro forma as adjusted financial information and the related notes included in the Registration Statement, the Pricing Disclosure Package and the Prospectus have been properly compiled and prepared in accordance with the applicable requirements of the Securities Act and the Securities Act Regulations and present fairly in all material respects the information shown therein, and the assumptions used in the preparation thereof are reasonable and the adjustments used therein are appropriate to give effect to the transactions and circumstances referred to therein. All disclosures contained in the Registration Statement, the Pricing Disclosure Package or the Prospectus regarding “non-GAAP financial measures” (as such term is defined by the rules and regulations of the Commission), if any, comply in all material respects with Regulation G of the Exchange Act and Item 10 of Regulation S-K of the Securities Act, to the extent applicable. Each of the Registration Statement, the Pricing Disclosure Package and the Prospectus discloses all material off-balance sheet transactions, arrangements, obligations (including contingent obligations), and other relationships of the Company with unconsolidated entities or other persons that reasonably could be expected to result in a Material Adverse Effect.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Disclosure of Agreements</w:t>
      </w:r>
      <w:r>
        <w:rPr>
          <w:rFonts w:ascii="Times New Roman" w:hAnsi="Times New Roman"/>
          <w:color w:val="000000"/>
          <w:sz w:val="24"/>
        </w:rPr>
        <w:t xml:space="preserve">. The agreements and documents described in the Registration Statement, the Pricing Disclosure Package, and the Prospectus conform to the descriptions thereof contained therein and there are no agreements or other documents required by the Securities Act and the rules and regulations thereunder to be described in the Registration Statement, the Pricing Disclosure Package, and the Prospectus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referred to in the Registration Statement, the Pricing Disclosure Package or the Prospectus,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U.S. federal and state securities laws, and (z) that the remedy of specific performance and injunctive and other forms of equitable relief may be subject to the equitable defenses and to the discretion of the court before which any proceeding therefore may be brought. None of such agreements or instruments has been assigned by the Company, and neither the Company nor, to the best of the Company’s knowledge, any other party is in default thereunder and, to the best of the Company’s knowledge, no event has occurred that, with the lapse of time or the giving of notice, or both, would constitute a default thereunder. To the best of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regulations, except for violations which would not reasonably be expected to have a Material Adverse Effect.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Material Changes; Undisclosed Events, Liabilities or Developments</w:t>
      </w:r>
      <w:r>
        <w:rPr>
          <w:rFonts w:ascii="Times New Roman" w:hAnsi="Times New Roman"/>
          <w:color w:val="000000"/>
          <w:sz w:val="24"/>
        </w:rPr>
        <w:t>. Since the date of the latest audited financial statements included within the Registration Statement, the Pricing Disclosure Package, and the Prospectus, except as specifically disclosed in the Registration Statement, the Pricing Disclosure Package, and the Prospectus, and except as would not reasonably be expected to result in a Material Adverse Effect,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(v) the Company has not issued any equity securities to any officer, director or Affiliate, except pursuant to existing Company stock option plans and (vi) no officer or director of the Company has resigned from such officer or director position with the Company. The Company does not have pending before the Commission any request for confidential treatment of information. Except for the issuance of the Public Shares contemplated by this Agreement,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 except as would not reasonably be expected to result in a Material Adverse Effect. Unless otherwise disclosed in the Registration Statement, the Pricing Disclosure Package, and the Prospectus, the Company has not: (i) issued any securities or incurred any liability or obligation, direct or contingent, for borrowed money; or (ii) declared or paid any dividend or made any other distribution on or in respect to its capital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Litigation</w:t>
      </w:r>
      <w:r>
        <w:rPr>
          <w:rFonts w:ascii="Times New Roman" w:hAnsi="Times New Roman"/>
          <w:color w:val="000000"/>
          <w:sz w:val="24"/>
        </w:rPr>
        <w:t>. There is no Proceeding pending or, to the knowledge of the Company, threatened in writing against or affecting the Company, any Subsidiary or any of their respective properties before or by any court, arbitrator, governmental or administrative agency or regulatory authority (U.S. federal, state, county, local or non-U.S.) (collectively, an “</w:t>
      </w:r>
      <w:r>
        <w:rPr>
          <w:rFonts w:ascii="Times New Roman" w:hAnsi="Times New Roman"/>
          <w:color w:val="000000"/>
          <w:sz w:val="24"/>
          <w:u w:val="single"/>
        </w:rPr>
        <w:t>Action</w:t>
      </w:r>
      <w:r>
        <w:rPr>
          <w:color w:val="000000"/>
        </w:rPr>
        <w:t>”</w:t>
      </w:r>
      <w:r>
        <w:rPr>
          <w:rFonts w:ascii="Times New Roman" w:hAnsi="Times New Roman"/>
          <w:color w:val="000000"/>
          <w:sz w:val="24"/>
        </w:rPr>
        <w:t xml:space="preserve">) which (i) adversely affects or challenges the legality, validity or enforceability of this Agreement or the Public Shares or (ii) could, if there were an unfavorable decision, have or reasonably be expected to result in a Material Adverse Effect, other than proceedings described in all material respects in each of the Registration Statement, the Pricing Disclosure Package and the Prospectus. Neither the Company nor any Subsidiary, nor any director or officer thereof, is the subject of any Action involving a claim of violation of or liability under federal or state securities laws or a claim of breach of fiduciary duty. To the knowledge of the Company, there has not been and there is not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pending or contemplated, any investigation by the Commission involving the Company or any current director or officer of the Company.</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Labor Relations</w:t>
      </w:r>
      <w:r>
        <w:rPr>
          <w:rFonts w:ascii="Times New Roman" w:hAnsi="Times New Roman"/>
          <w:color w:val="000000"/>
          <w:sz w:val="24"/>
        </w:rPr>
        <w:t>. No material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except such violation could not, individually or in the aggregate, reasonably be expected to have a Material Adverse Effect. The Company and its Subsidiaries are in compliance with all U.S. federal, state, local and non-U.S. laws and regulations relating to employment and employment practices, terms and conditions of employment and wages and hours, except where the failure to be in compliance could not, individually or in the aggregate, reasonably be expected to have a Material Adverse Effect.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u w:val="single"/>
        </w:rPr>
        <w:t>Regulatory Permits</w:t>
      </w:r>
      <w:r>
        <w:rPr>
          <w:rFonts w:ascii="Times New Roman" w:hAnsi="Times New Roman"/>
          <w:color w:val="000000"/>
          <w:sz w:val="24"/>
        </w:rPr>
        <w:t>. To the Company’s knowledge, the Company and the Subsidiaries possess all certificates, authorizations and permits issued by the appropriate U.S. federal, state, local or non-U.S. regulatory authorities necessary to conduct their respective businesses</w:t>
      </w:r>
      <w:r>
        <w:rPr>
          <w:color w:val="000000"/>
        </w:rPr>
        <w:t xml:space="preserve"> </w:t>
      </w:r>
      <w:r>
        <w:rPr>
          <w:rFonts w:ascii="Times New Roman" w:hAnsi="Times New Roman"/>
          <w:color w:val="000000"/>
          <w:sz w:val="24"/>
        </w:rPr>
        <w:t>as presently conducted as described in the Registration Statement, the Pricing Disclosure Package, and the Prospectus, except where the failure to possess such permits could not reasonably be expected to result in a Material Adverse Effect (each, a “</w:t>
      </w:r>
      <w:r>
        <w:rPr>
          <w:rFonts w:ascii="Times New Roman" w:hAnsi="Times New Roman"/>
          <w:color w:val="000000"/>
          <w:sz w:val="24"/>
          <w:u w:val="single"/>
        </w:rPr>
        <w:t>Material Permit</w:t>
      </w:r>
      <w:r>
        <w:rPr>
          <w:color w:val="000000"/>
        </w:rPr>
        <w:t>”</w:t>
      </w:r>
      <w:r>
        <w:rPr>
          <w:rFonts w:ascii="Times New Roman" w:hAnsi="Times New Roman"/>
          <w:color w:val="000000"/>
          <w:sz w:val="24"/>
        </w:rPr>
        <w:t>), and neither the Company nor any Subsidiary has received any notice of proceedings relating to the revocation or modification of any Material Permit. The disclosures in the Registration Statement concerning the effects of U.S. federal, state, local and all non-U.S. regulation on the Company’s business as currently contemplated are correct in all material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rFonts w:ascii="Times New Roman" w:hAnsi="Times New Roman"/>
          <w:color w:val="000000"/>
          <w:sz w:val="24"/>
          <w:u w:val="single"/>
        </w:rPr>
        <w:t>Title to Assets</w:t>
      </w:r>
      <w:r>
        <w:rPr>
          <w:rFonts w:ascii="Times New Roman" w:hAnsi="Times New Roman"/>
          <w:color w:val="000000"/>
          <w:sz w:val="24"/>
        </w:rPr>
        <w:t xml:space="preserve">. The Company and the Subsidiaries have good and marketable title in fee simple to, or have valid and marketable rights to lease or otherwise use, all real property and all personal property (other than Intellectual Property, which is exclusively addressed by Section 3.1(q) below) that is material to the business of the Company and the Subsidiaries, taken as a whole, is,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GAAP, and the payment of which is neither delinquent nor subject to penalties. Any real property and facilities held under lease by the Company and the Subsidiaries are, to the Company’s knowledge, held by them under valid, subsisting and enforceable leases with which the Company and the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Subsidiaries are in compliance, except in each case as could not have or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rFonts w:ascii="Times New Roman" w:hAnsi="Times New Roman"/>
          <w:color w:val="000000"/>
          <w:sz w:val="24"/>
          <w:u w:val="single"/>
        </w:rPr>
        <w:t>Intellectual Property</w:t>
      </w:r>
      <w:r>
        <w:rPr>
          <w:rFonts w:ascii="Times New Roman" w:hAnsi="Times New Roman"/>
          <w:color w:val="000000"/>
          <w:sz w:val="24"/>
        </w:rPr>
        <w:t>. Except as disclosed in the Registration Statement, the Pricing Disclosure Package, the Preliminary Prospectus, or the Prospectus, and except as would not, singularly or in the aggregate, reasonably be expected to have a Material Adverse Effect on the Company and its Subsidiaries, taken as a whole: (i) to the knowledge of the Company, the Company and its Subsidiaries own, or possess valid and enforceable license rights to use, or are otherwise authorized under applicable law to use, all patents, patent applications, trademarks, service marks, trade names, trademark registrations, service mark registrations, trade dress, designs, data, database rights, Internet domain names, copyrights, works of authorship, proprietary information and know-how (including trade secrets and other unpatented and/or unpatentable proprietary or confidential information, systems or procedures) and any other intellectual property (collectively, “</w:t>
      </w:r>
      <w:r>
        <w:rPr>
          <w:rFonts w:ascii="Times New Roman" w:hAnsi="Times New Roman"/>
          <w:color w:val="000000"/>
          <w:sz w:val="24"/>
          <w:u w:val="single"/>
        </w:rPr>
        <w:t>Intellectual Property</w:t>
      </w:r>
      <w:r>
        <w:rPr>
          <w:color w:val="000000"/>
        </w:rPr>
        <w:t>”</w:t>
      </w:r>
      <w:r>
        <w:rPr>
          <w:rFonts w:ascii="Times New Roman" w:hAnsi="Times New Roman"/>
          <w:color w:val="000000"/>
          <w:sz w:val="24"/>
        </w:rPr>
        <w:t>) which are reasonably necessary for the present conduct of their respective businesses in the manner described in the Registration Statement, the Pricing Disclosure Package and the Prospectus; (ii) Intellectual Property owned by the Company and its Subsidiaries (collectively, “</w:t>
      </w:r>
      <w:r>
        <w:rPr>
          <w:rFonts w:ascii="Times New Roman" w:hAnsi="Times New Roman"/>
          <w:color w:val="000000"/>
          <w:sz w:val="24"/>
          <w:u w:val="single"/>
        </w:rPr>
        <w:t>Company Intellectual Property</w:t>
      </w:r>
      <w:r>
        <w:rPr>
          <w:color w:val="000000"/>
        </w:rPr>
        <w:t>”</w:t>
      </w:r>
      <w:r>
        <w:rPr>
          <w:rFonts w:ascii="Times New Roman" w:hAnsi="Times New Roman"/>
          <w:color w:val="000000"/>
          <w:sz w:val="24"/>
        </w:rPr>
        <w:t xml:space="preserve">) has not been adjudged by a court of competent jurisdiction to be invalid or unenforceable, in whole or in part, and to the Company’s knowledge there are not any facts which would form a reasonable basis for any such adjudication; (iii) the Company Intellectual Property is free and clear of all liens, encumbrances, or other security interests other than licenses or other grants of rights granted in the ordinary course of business and the Company and its Subsidiaries have not received any written notice of any claim of infringement, misappropriation or conflict with any intellectual property rights of another in any material respect; (iv) to the Company’s knowledge, there is no infringement by third parties of any material Company Intellectual Property; (v) there is no pending or, to the Company’s knowledge, threatened (in writing) action, suit, proceeding or claim by others: (A) challenging the Company’s rights in or to any Company Intellectual Property; (B) challenging the validity, enforceability or scope of any Company Intellectual Property; or (C) asserting that the Company or its Subsidiaries infringe, misappropriate, or otherwise violate, or would, upon the commercialization of any product or service described in the Registration Statement, the Pricing Disclosure Package, and the Prospectus as under development, infringe, misappropriate, or otherwise violate, any intellectual property rights of others; (vi) the Company and its Subsidiaries have complied in all material respects with the terms of each agreement pursuant to which material Intellectual Property has been licensed to the Company or its Subsidiaries; (vii) the Company and its Subsidiaries have taken commercially reasonable steps to protect, maintain and safeguard the confidentiality of all information intended to be maintained by them as a trade secret; (viii) each employee of the Company engaged in the development of material Intellectual Property on behalf of the Company or any Subsidiary has executed appropriate nondisclosure, confidentiality or invention assignment agreements and, to the Company’s knowledge, no employee of the Company is , with respect to the employee’s employment by the Company, in violation of any material term of any such agreement, or any restrictive covenant to or with a former employer where the basis of such violation relates to such employee’s employment with the Company. (ix) the Company and its Subsidiaries have not integrated, embedded, incorporated, distributed or otherwise used any “open source” software in any manner that requires the Company or any of its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Subsidiaries to: (A) disclose or make any of the material proprietary software of the Company or any of its Subsidiaries available in source code form; (B) make any of the material proprietary software of the Company or any of its Subsidiaries available for the purpose of creating derivative works; or (C) distribute any of the products or services of the Company or its Subsidiaries free of charge; and (x) to the Company’s knowledge, the Company and each of its Subsidiaries is in compliance in all material respects with the terms and conditions of all “open source” software licenses to which they are bound (other than requirements to provide attribution or other notice); (xi) none of the Company Intellectual Property that is material to the business of the Company or its Subsidiaries has been obtained or is being used by the Company or its Subsidiary in violation of any material contractual obligation binding on the Company or its Subsidiaries or, to the knowledge of Company, binding on any of their respective officers, directors or employees; (xii) all license agreements that the Company or any of its Subsidiaries are party to for the use of Intellectual Property that is licensed to the Company or its Subsidiaries and that is material to the business of the Company or its Subsidiaries (“</w:t>
      </w:r>
      <w:r>
        <w:rPr>
          <w:rFonts w:ascii="Times New Roman" w:hAnsi="Times New Roman"/>
          <w:color w:val="000000"/>
          <w:sz w:val="24"/>
          <w:u w:val="single"/>
        </w:rPr>
        <w:t>Material Intellectual Property Licenses</w:t>
      </w:r>
      <w:r>
        <w:rPr>
          <w:color w:val="000000"/>
        </w:rPr>
        <w:t>”</w:t>
      </w:r>
      <w:r>
        <w:rPr>
          <w:rFonts w:ascii="Times New Roman" w:hAnsi="Times New Roman"/>
          <w:color w:val="000000"/>
          <w:sz w:val="24"/>
        </w:rPr>
        <w:t>) are, to the knowledge of the Company, valid, binding upon, and enforceable by or against the parties thereto in accordance to their applicable terms; and (xiii) the Company has complied in all material respects with, and is not in material breach nor has received in writing any asserted or threatened claim of breach of any Material Intellectual Property License, and the Company has no knowledge of any material breach or anticipated material breach by any other person to any Material Intellectual Property License.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rFonts w:ascii="Times New Roman" w:hAnsi="Times New Roman"/>
          <w:color w:val="000000"/>
          <w:sz w:val="24"/>
          <w:u w:val="single"/>
        </w:rPr>
        <w:t>Insurance</w:t>
      </w:r>
      <w:r>
        <w:rPr>
          <w:rFonts w:ascii="Times New Roman" w:hAnsi="Times New Roman"/>
          <w:color w:val="000000"/>
          <w:sz w:val="24"/>
        </w:rPr>
        <w:t>. The Company and the Subsidiaries, taken as a whole, are insured by insurers of recognized financial responsibility against such losses and risks and in such amounts as the Company and the Subsidiaries reasonably believes are prudent and customary in the businesses in which the Company and the Subsidiaries are currently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singly or in aggregate, result in a Material Adverse Effect, taken as a whole.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rFonts w:ascii="Times New Roman" w:hAnsi="Times New Roman"/>
          <w:color w:val="000000"/>
          <w:sz w:val="24"/>
          <w:u w:val="single"/>
        </w:rPr>
        <w:t>Transactions With Related Parties</w:t>
      </w:r>
      <w:r>
        <w:rPr>
          <w:rFonts w:ascii="Times New Roman" w:hAnsi="Times New Roman"/>
          <w:color w:val="000000"/>
          <w:sz w:val="24"/>
        </w:rPr>
        <w:t>. Except as set forth in the Registration Statement, the Pricing Disclosure Package, and the Prospectus, none of the executive officers or directors of the Company is presently a party to any transaction with the Company (other than for services as executive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executive officer or director or, to the knowledge of the Company, any entity in which any executive officer or director has a substantial interest or is an executive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rFonts w:ascii="Times New Roman" w:hAnsi="Times New Roman"/>
          <w:color w:val="000000"/>
          <w:sz w:val="24"/>
          <w:u w:val="single"/>
        </w:rPr>
        <w:t>Sarbanes-Oxley; Internal Accounting Controls</w:t>
      </w:r>
      <w:r>
        <w:rPr>
          <w:rFonts w:ascii="Times New Roman" w:hAnsi="Times New Roman"/>
          <w:color w:val="000000"/>
          <w:sz w:val="24"/>
        </w:rPr>
        <w:t>. The Company and the Subsidiaries are, or at the Applicable Time and on the Closing Date will be, in material compliance with any and all applicable requirements of the Sarbanes-Oxley Act of 2002 that are effective as of the Execution Date, and any and all applicable rules and regulations promulgated by the Commission thereunder that are effective as of the Execution Date, the Applicable Time, and the Closing Date (it being understood that this Section 3.1(t) shall not require the Company to comply with Section 404 of the Sarbanes Oxley Act of 2002 as of an earlier date than it would otherwise be required to so comply under applicable law). The Company and the Subsidiaries maintain a system of internal accounting controls over financial reporting (as such term is defined in Rule 13a-15(f) under the Exchange Act) that (i) complies with the requirements of the Exchange Act applicable to the Company and its Subsidiaries and (ii) has been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in order that information required to be disclosed by the Company in the reports it files or submits under the Exchange Act is recorded, processed, summarized and reported, within the time periods specified in the Commission’s rules and forms. Except as disclosed in the Registration Statement, the Pricing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The Company’s auditors and the Audit Committee of the Board of Directors of the Company have been advised of: (i) all significant deficiencies and material weaknesses in the design or operation of internal controls over financial reporting which are known to the Company’s management and that have adversely affected or are reasonably likely to adversely affect the Company’ ability to record, process, summarize and report financial information; and (ii) any fraud known to the Company’s management, whether or not material, that involves management or other employees who have a significant role in the Company’s internal controls over financial reporting.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rFonts w:ascii="Times New Roman" w:hAnsi="Times New Roman"/>
          <w:color w:val="000000"/>
          <w:sz w:val="24"/>
          <w:u w:val="single"/>
        </w:rPr>
        <w:t>Certain Fees</w:t>
      </w:r>
      <w:r>
        <w:rPr>
          <w:rFonts w:ascii="Times New Roman" w:hAnsi="Times New Roman"/>
          <w:color w:val="000000"/>
          <w:sz w:val="24"/>
        </w:rPr>
        <w:t xml:space="preserve">. Except as set forth in the Registration Statement, the Pricing Disclosure Package, and the Prospectus, no brokerage or finder’s fees or commissions are or will be payable by the Company, any Subsidiary or Affiliate of the Company to any broker, financial advisor or consultant, finder, placement agent, investment banker, bank or other Person with respect to the transactions contemplated by this Agreement. To the Company’s knowledge, there are no other arrangements, agreements or understandings of the Company or, to the Company’s knowledge, any of its stockholders that may affect the Underwriters’ compensation, as determined by FINRA. Except as described in the Registration Statement, the Pricing Disclosure Package, and the Prospectus, the Company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months prior to the Execution Date. None of the net proceeds of the Offering will be paid by the Company to any participating FINRA member or its affiliates, except as specifically authorized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Investment Company</w:t>
      </w:r>
      <w:r>
        <w:rPr>
          <w:rFonts w:ascii="Times New Roman" w:hAnsi="Times New Roman"/>
          <w:color w:val="000000"/>
          <w:sz w:val="24"/>
        </w:rPr>
        <w:t>. The Company is not, and immediately after receipt of payment for the Public Shares will not be, an “investment company” within the meaning of the Investment Company Act of 1940, as amended. The Company shall conduct its business in a manner so as to avoid becoming an “investment company” subject to registration under the Investment Company Act of 1940, as amended.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rFonts w:ascii="Times New Roman" w:hAnsi="Times New Roman"/>
          <w:color w:val="000000"/>
          <w:sz w:val="24"/>
          <w:u w:val="single"/>
        </w:rPr>
        <w:t>Listing and Maintenance Requirements</w:t>
      </w:r>
      <w:r>
        <w:rPr>
          <w:rFonts w:ascii="Times New Roman" w:hAnsi="Times New Roman"/>
          <w:color w:val="000000"/>
          <w:sz w:val="24"/>
        </w:rPr>
        <w:t>. The Common Stock is listed on the Trading Market, and the Company has taken no action designed to, or likely to have the effect of, delisting the Common Stock from the Trading Market, nor has the Company received any notification that the Trading Market is contemplating terminating such listing. The Company has not received notice from the Trading Market that the Company is not in compliance with the listing or maintenance requirements of the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of the Depository Trust Company (or such other established clearing corporation) in connection with such electronic transfer or will be prior to the occurrence of such electronic transfer.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rFonts w:ascii="Times New Roman" w:hAnsi="Times New Roman"/>
          <w:color w:val="000000"/>
          <w:sz w:val="24"/>
          <w:u w:val="single"/>
        </w:rPr>
        <w:t>Application of Takeover Protections</w:t>
      </w:r>
      <w:r>
        <w:rPr>
          <w:rFonts w:ascii="Times New Roman" w:hAnsi="Times New Roman"/>
          <w:color w:val="000000"/>
          <w:sz w:val="24"/>
        </w:rPr>
        <w:t>. The Company and the Board of Directors have taken all necessary action, if any, in order to render inapplicable any control share acquisition, business combination, poison pill (including any distribution under a rights agreement) or other similar anti</w:t>
        <w:noBreakHyphen/>
        <w:t>takeover provision under the Company’s certificate of incorporation (or similar charter documents) or the laws of its state of incorporation that is or could become applicable as a result of the Underwriters and the Company fulfilling their obligations or exercising their rights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pPr>
      <w:r>
        <w:rPr>
          <w:rFonts w:ascii="Times New Roman" w:hAnsi="Times New Roman"/>
          <w:color w:val="000000"/>
          <w:sz w:val="24"/>
          <w:u w:val="single"/>
        </w:rPr>
        <w:t>Disclosure; 10b-5</w:t>
      </w:r>
      <w:r>
        <w:rPr>
          <w:rFonts w:ascii="Times New Roman" w:hAnsi="Times New Roman"/>
          <w:color w:val="000000"/>
          <w:sz w:val="24"/>
        </w:rPr>
        <w:t xml:space="preserve">. The Registration Statement (and any further documents to be filed with the Commission) contains all exhibits and schedules as required by the Securities Act. Each of the Registration Statement and any post-effective amendment thereto, if any, at the time it became effective, complied in all material respects with the Securities Act and the Exchange Act and the applicable rules and regulations under the Securities Act. Each of the Preliminary Prospectus, including the prospectus filed as part of the Registration Statement as originally filed or as part of any amendment or supplement thereto, and the Prospectus, each as of its respective date, complied, and will comply, in all material respects with the Securities Act and the Exchange Act and the applicable rules and regulations. Each Preliminary Prospectus delivered to the Underwriters for use in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connection with this Offering and the Prospectus was or will be identical to the electronically transmitted copies thereof filed with the Commission pursuant to EDGAR, except to the extent permitted by Regulation S-T. Neither the Registration Statement nor any amendment thereto, at its effective time, as of the Applicable Time, at the Closing Date or at any Option Closing Date (if any), contained, contains or will contain an untrue statement of a material fact or omitted, omits or will omit to state a material fact required to be stated therein or necessary to make the statements therein not misleading. The Pricing Disclosure Package, as of the Applicable Time, at the Closing Date or at any Option Closing Date (if any), did not, does not and will not include an untrue statement of a material fact or omit to state a material fact necessary in order to make the statements therein, in the light of the circumstances under which they were made, not misleading. Each Issuer Limited Use Free Writing Prospectus hereto does not conflict with the information contained in the Registration Statement, any Preliminary Prospectus, the Pricing Prospectus or the Prospectus, and each such Issuer Limited Use Free Writing Prospectus, as supplemented by and taken together with the Pricing Prospectus as of the Applicable Time, did not include an untrue statement of a material fact or omit to state a material fact necessary in order to make the statements therein, in light of the circumstances under which they were made, not misleading;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this representation and warranty shall not apply to statements made or statements omitted in reliance upon and in conformity with written information furnished to the Company with respect to the Underwriters by the Representatives expressly for use in the Registration Statement, the Pricing Prospectus or the Prospectus or any amendment thereof or supplement thereto. The parties acknowledge and agree that such information provided by or on behalf of any Underwriter consists solely of the following disclosure contained in the “Underwriting” section of the Prospectus: (i) the table showing the number of securities to be purchased by each Underwriter, (ii) the first paragraph of the section titled “Discounts, Commissions and Expenses,” (iii) the first clause of the first paragraph and the first sentence of the second paragraph of the section titled “Price Stabilization, Short Positions and Penalty Bids,” (iv) the section titled “Electronic Distribution,” and (v) the first sentence of the first paragraph of the section titled “Offer Restrictions Outside the United States” (the “</w:t>
      </w:r>
      <w:r>
        <w:rPr>
          <w:rFonts w:ascii="Times New Roman" w:hAnsi="Times New Roman"/>
          <w:color w:val="000000"/>
          <w:sz w:val="24"/>
          <w:u w:val="single"/>
        </w:rPr>
        <w:t>Underwriters’ Information</w:t>
      </w:r>
      <w:r>
        <w:rPr>
          <w:color w:val="000000"/>
        </w:rPr>
        <w:t>”</w:t>
      </w:r>
      <w:r>
        <w:rPr>
          <w:rFonts w:ascii="Times New Roman" w:hAnsi="Times New Roman"/>
          <w:color w:val="000000"/>
          <w:sz w:val="24"/>
        </w:rPr>
        <w:t xml:space="preserve">). Neither the Prospectus nor any amendment or supplement thereto (including any prospectus wrapper), as of its issue date, at the time of any filing with the Commission pursuant to Rule 424(b), at the Closing Date or at any Option Closing Date, included, includes or will include an untrue statement of a material fact or omitted, omits or will omit to state a material fact necessary in order to make the statements therein, in the light of the circumstances under which they were made, not misleading;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this representation and warranty shall not apply to the Underwriters’ Information. No forward-looking statement (within the meaning of Section 27A of the Securities Act and Section 21E of the Exchange Act) included in any of the Registration Statement, the Pricing Disclosure Package or the Prospectus has been made or reaffirmed without a reasonable basis or has been disclosed other than in good faith. The statistical and market-related data included in each of the Registration Statement, the Pricing Disclosure Package and the Prospectus are based on or derived from sources that the Company reasonably and in good faith believes are reliable and accurate or represent the Company’s good faith estimates that are made on the basis of data derived from such sources. No post-effective amendment to the Registration Statement reflecting any facts or</w:t>
      </w:r>
      <w:r>
        <w:rPr>
          <w:color w:val="00000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events arising after the date thereof which represent, individually or in the aggregate, a fundamental change in the information set forth therein which could reasonably be expected to constitute a Material Adverse Effect that is required to be filed with the Commission as of the Execution Date.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pPr>
      <w:r>
        <w:rPr>
          <w:rFonts w:ascii="Times New Roman" w:hAnsi="Times New Roman"/>
          <w:color w:val="000000"/>
          <w:sz w:val="24"/>
          <w:u w:val="single"/>
        </w:rPr>
        <w:t>No Integrated Offering</w:t>
      </w:r>
      <w:r>
        <w:rPr>
          <w:rFonts w:ascii="Times New Roman" w:hAnsi="Times New Roman"/>
          <w:color w:val="000000"/>
          <w:sz w:val="24"/>
        </w:rPr>
        <w:t>. Neither the Company, nor any of its Affiliates, nor any Person acting on its or their behalf has, directly or indirectly, made any offers or sales of any security or solicited any offers to buy any security, under circumstances that would cause this offering of the Public Shares to be integrated with prior offerings by the Company for purposes of any applicable stockholder approval provisions of the Trading Market on which any of the securities of the Company are listed or designated.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pPr>
      <w:r>
        <w:rPr>
          <w:rFonts w:ascii="Times New Roman" w:hAnsi="Times New Roman"/>
          <w:color w:val="000000"/>
          <w:sz w:val="24"/>
          <w:u w:val="single"/>
        </w:rPr>
        <w:t>Solvency</w:t>
      </w:r>
      <w:r>
        <w:rPr>
          <w:rFonts w:ascii="Times New Roman" w:hAnsi="Times New Roman"/>
          <w:color w:val="000000"/>
          <w:sz w:val="24"/>
        </w:rPr>
        <w:t>. Based on the consolidated financial condition of the Company as of the Execution Date, after giving effect to the receipt by the Company of the proceeds from the sale of the Public Shares hereunder, the Company reasonably believes that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Execution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pPr>
      <w:r>
        <w:rPr>
          <w:rFonts w:ascii="Times New Roman" w:hAnsi="Times New Roman"/>
          <w:color w:val="000000"/>
          <w:sz w:val="24"/>
          <w:u w:val="single"/>
        </w:rPr>
        <w:t>Tax Status</w:t>
      </w:r>
      <w:r>
        <w:rPr>
          <w:rFonts w:ascii="Times New Roman" w:hAnsi="Times New Roman"/>
          <w:color w:val="000000"/>
          <w:sz w:val="24"/>
        </w:rPr>
        <w:t xml:space="preserve">. Except for matters that would not, individually or in the aggregate, have or reasonably be expected to result in a Material Adverse Effect, the Company and its Subsidiaries each (i) has made or filed all United States federal, state and local income and all non-U.S. income and franchise tax returns, reports and declarations required to be filed by the Company or its Subsidiaries in any jurisdiction to which it is subject or has properly requested extensions thereof, (ii) has paid all taxes and other governmental assessments and charges in the nature of a tax that are material in amount, shown or determined to be due and payable on such returns, reports and declarations (except such taxes that are being contested in good faith and by appropriate proceedings)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 The provisions for taxes payable, if any, shown on the financial statements filed with or as part of the Registration Statement are sufficient for all accrued and unpaid taxes, whether or not disputed, and for all periods to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including the dates of such consolidated financial statements. The term “taxes” mean all U.S. federal, state, local, non-U.S.,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whatsoever in the nature of a tax, together with any interest and any penalties, additions to tax, or additional amounts with respect thereto. The term “returns” means all returns, declarations, reports, statements, and other documents required to be filed with any taxing authority in respect to taxes.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pPr>
      <w:r>
        <w:rPr>
          <w:rFonts w:ascii="Times New Roman" w:hAnsi="Times New Roman"/>
          <w:color w:val="000000"/>
          <w:sz w:val="24"/>
          <w:u w:val="single"/>
        </w:rPr>
        <w:t>Foreign Corrupt Practices</w:t>
      </w:r>
      <w:r>
        <w:rPr>
          <w:rFonts w:ascii="Times New Roman" w:hAnsi="Times New Roman"/>
          <w:color w:val="000000"/>
          <w:sz w:val="24"/>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the FCPA, or (iv) violated in any material respect any provision of FCPA. The Company has taken reasonable steps to ensure that its accounting controls and procedures are sufficient to cause the Company to comply in all material respects with the FCPA.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40"/>
        <w:jc w:val="both"/>
        <w:rPr/>
      </w:pPr>
      <w:r>
        <w:rPr>
          <w:rFonts w:ascii="Times New Roman" w:hAnsi="Times New Roman"/>
          <w:color w:val="000000"/>
          <w:sz w:val="24"/>
          <w:u w:val="single"/>
        </w:rPr>
        <w:t>Accountants</w:t>
      </w:r>
      <w:r>
        <w:rPr>
          <w:rFonts w:ascii="Times New Roman" w:hAnsi="Times New Roman"/>
          <w:color w:val="000000"/>
          <w:sz w:val="24"/>
        </w:rPr>
        <w:t>. The Company Auditor, whose report is filed with the Commission as part of the Registration Statement, the Pricing Disclosure Package and the Prospectus, is an independent registered public accounting firm as required by the Securities Act and the rules and regulations of the Securities Act and the Public Company Accounting Oversight Board. The Company Auditor has not, during the periods covered by the financial statements included in the Registration Statement, the Pricing Disclosure Package and the Prospectus, provided to the Company any prohibited non-audit services, as such term is used in Section 10A(g) of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w:t>
      </w:r>
    </w:p>
    <w:p>
      <w:pPr>
        <w:pStyle w:val="TextBody"/>
        <w:bidi w:val="0"/>
        <w:spacing w:before="0" w:after="240"/>
        <w:jc w:val="both"/>
        <w:rPr/>
      </w:pPr>
      <w:r>
        <w:rPr>
          <w:rFonts w:ascii="Times New Roman" w:hAnsi="Times New Roman"/>
          <w:color w:val="000000"/>
          <w:sz w:val="24"/>
          <w:u w:val="single"/>
        </w:rPr>
        <w:t>Office of Foreign Assets Control</w:t>
      </w:r>
      <w:r>
        <w:rPr>
          <w:rFonts w:ascii="Times New Roman" w:hAnsi="Times New Roman"/>
          <w:color w:val="000000"/>
          <w:sz w:val="24"/>
        </w:rPr>
        <w:t>. Neither the Company nor any of its Subsidiaries, directors or officers, nor, to the knowledge of the Company, any employee,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Times New Roman" w:hAnsi="Times New Roman"/>
          <w:color w:val="000000"/>
          <w:sz w:val="24"/>
          <w:u w:val="single"/>
        </w:rPr>
        <w:t>OFAC</w:t>
      </w:r>
      <w:r>
        <w:rPr>
          <w:color w:val="000000"/>
        </w:rPr>
        <w:t>”</w:t>
      </w:r>
      <w:r>
        <w:rPr>
          <w:rFonts w:ascii="Times New Roman" w:hAnsi="Times New Roman"/>
          <w:color w:val="000000"/>
          <w:sz w:val="24"/>
        </w:rPr>
        <w:t>)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hAnsi="Times New Roman"/>
          <w:color w:val="000000"/>
          <w:sz w:val="24"/>
          <w:u w:val="single"/>
        </w:rPr>
        <w:t>Sanctions</w:t>
      </w:r>
      <w:r>
        <w:rPr>
          <w:color w:val="000000"/>
        </w:rPr>
        <w:t>”</w:t>
      </w:r>
      <w:r>
        <w:rPr>
          <w:rFonts w:ascii="Times New Roman" w:hAnsi="Times New Roman"/>
          <w:color w:val="000000"/>
          <w:sz w:val="24"/>
        </w:rPr>
        <w:t>), nor is the Company or any of its Subsidiaries located, organized or resident in a country or territory that is the subject or target of Sanctions, including, without limitation, the Crimea Region of Ukraine, the so-called Donetsk People’s Republic, the so-called Luhansk People’s Republic, or the non-Ukrainian-government controlled regions of Kherson or Zaporizhzhia of Ukraine, Cuba, Iran, and North Korea (each, a “</w:t>
      </w:r>
      <w:r>
        <w:rPr>
          <w:rFonts w:ascii="Times New Roman" w:hAnsi="Times New Roman"/>
          <w:color w:val="000000"/>
          <w:sz w:val="24"/>
          <w:u w:val="single"/>
        </w:rPr>
        <w:t>Sanctioned Country</w:t>
      </w:r>
      <w:r>
        <w:rPr>
          <w:color w:val="000000"/>
        </w:rPr>
        <w:t>”</w:t>
      </w:r>
      <w:r>
        <w:rPr>
          <w:rFonts w:ascii="Times New Roman" w:hAnsi="Times New Roman"/>
          <w:color w:val="000000"/>
          <w:sz w:val="24"/>
        </w:rPr>
        <w:t xml:space="preserve">); and the Company will not directly or indirectly use the proceeds of the offering of the Public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Shares hereunder, or lend, contribute or otherwise make available such proceeds to any subsidiary, joint venture partner or other Person or entity, in violation of Sanctions,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and will not engage in any dealings or transactions with any person that at the time of the dealing or transaction is or was the subject or the target of Sanctions or with any Sanctioned Country. The Company and its Subsidiaries have instituted, maintain and enforce, and will continue to maintain and enforce policies and procedures designed to promote and ensure compliance with all Sanctions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w:t>
      </w:r>
    </w:p>
    <w:p>
      <w:pPr>
        <w:pStyle w:val="TextBody"/>
        <w:bidi w:val="0"/>
        <w:spacing w:before="0" w:after="240"/>
        <w:jc w:val="both"/>
        <w:rPr/>
      </w:pPr>
      <w:r>
        <w:rPr>
          <w:rFonts w:ascii="Times New Roman" w:hAnsi="Times New Roman"/>
          <w:color w:val="000000"/>
          <w:sz w:val="24"/>
          <w:u w:val="single"/>
        </w:rPr>
        <w:t>U.S. Real Property Holding Corporation</w:t>
      </w:r>
      <w:r>
        <w:rPr>
          <w:rFonts w:ascii="Times New Roman" w:hAnsi="Times New Roman"/>
          <w:color w:val="000000"/>
          <w:sz w:val="24"/>
        </w:rPr>
        <w:t>. The Company is not and has never been a U.S. real property holding corporation within the meaning of Section 897 of the Internal Revenue Code of 1986,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(gg)</w:t>
      </w:r>
    </w:p>
    <w:p>
      <w:pPr>
        <w:pStyle w:val="TextBody"/>
        <w:bidi w:val="0"/>
        <w:spacing w:before="0" w:after="240"/>
        <w:jc w:val="both"/>
        <w:rPr/>
      </w:pPr>
      <w:r>
        <w:rPr>
          <w:rFonts w:ascii="Times New Roman" w:hAnsi="Times New Roman"/>
          <w:color w:val="000000"/>
          <w:sz w:val="24"/>
          <w:u w:val="single"/>
        </w:rPr>
        <w:t>Money Laundering</w:t>
      </w:r>
      <w:r>
        <w:rPr>
          <w:rFonts w:ascii="Times New Roman" w:hAnsi="Times New Roman"/>
          <w:color w:val="000000"/>
          <w:sz w:val="24"/>
        </w:rPr>
        <w:t>. The operations of the Company and its Subsidiaries are and have been conducted at all times in compliance with applicable financial record-keeping and reporting requirements, including, to the extent applicable, those of the Bank Secrecy Act, as amended by Title III of the Uniting and Strengthening America by Providing Appropriate Tools Required to Intercept and Obstruct Terrorism Act of 2001 (USA PATRIOT Act), the Money Laundering Control Act of 1986, the Anti-Money Laundering Act of 2020, the U.S. Currency and Foreign Transactions Reporting Act of 1970, as amended, applicable anti-money laundering statutes of jurisdictions where the Company and each of the Subsidiaries conduct business, each as may be amended, and the rules and regulations thereunder and any related or similar rules, regulations or guidelines, issued, administered or enforced by any governmental agency (collectively, the “</w:t>
      </w:r>
      <w:r>
        <w:rPr>
          <w:rFonts w:ascii="Times New Roman" w:hAnsi="Times New Roman"/>
          <w:color w:val="000000"/>
          <w:sz w:val="24"/>
          <w:u w:val="single"/>
        </w:rPr>
        <w:t>Money Laundering Laws</w:t>
      </w:r>
      <w:r>
        <w:rPr>
          <w:color w:val="000000"/>
        </w:rPr>
        <w:t>”</w:t>
      </w:r>
      <w:r>
        <w:rPr>
          <w:rFonts w:ascii="Times New Roman" w:hAnsi="Times New Roman"/>
          <w:color w:val="000000"/>
          <w:sz w:val="24"/>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 in writing. The Company and the Subsidiaries have instituted, maintained and enforced, and will continue to maintain and enforce policies and procedures designed to promote and ensure compliance with all applicable Money Laundering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(hh)</w:t>
      </w:r>
    </w:p>
    <w:p>
      <w:pPr>
        <w:pStyle w:val="TextBody"/>
        <w:bidi w:val="0"/>
        <w:spacing w:before="0" w:after="240"/>
        <w:jc w:val="both"/>
        <w:rPr/>
      </w:pPr>
      <w:r>
        <w:rPr>
          <w:rFonts w:ascii="Times New Roman" w:hAnsi="Times New Roman"/>
          <w:color w:val="000000"/>
          <w:sz w:val="24"/>
          <w:u w:val="single"/>
        </w:rPr>
        <w:t>Information From Directors and Executive Officers</w:t>
      </w:r>
      <w:r>
        <w:rPr>
          <w:rFonts w:ascii="Times New Roman" w:hAnsi="Times New Roman"/>
          <w:color w:val="000000"/>
          <w:sz w:val="24"/>
        </w:rPr>
        <w:t>. To the Company’s knowledge, the information contained in the questionnaires most recently completed by each of the Company’s directors and executive officers prior to the Offering as well as in the Lock-Up Agreement provided to the Underwriters is true, correct, and complete in all material respects. The Company has not become aware of any information which would cause the information disclosed in such questionnaires to become materially inaccurate and incorrect.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Officers’ Certificate</w:t>
      </w:r>
      <w:r>
        <w:rPr>
          <w:rFonts w:ascii="Times New Roman" w:hAnsi="Times New Roman"/>
          <w:color w:val="000000"/>
          <w:sz w:val="24"/>
        </w:rPr>
        <w:t xml:space="preserve">. Any certificate signed by any duly authorized officer of the Company and delivered to the Representatives or Underwriters’ Counsel shall be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deemed a representation and warranty by the Company to the Underwriters as to the matters covered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(jj)</w:t>
      </w:r>
    </w:p>
    <w:p>
      <w:pPr>
        <w:pStyle w:val="TextBody"/>
        <w:bidi w:val="0"/>
        <w:spacing w:before="0" w:after="240"/>
        <w:jc w:val="both"/>
        <w:rPr/>
      </w:pPr>
      <w:r>
        <w:rPr>
          <w:rFonts w:ascii="Times New Roman" w:hAnsi="Times New Roman"/>
          <w:color w:val="000000"/>
          <w:sz w:val="24"/>
          <w:u w:val="single"/>
        </w:rPr>
        <w:t>Board of Directors</w:t>
      </w:r>
      <w:r>
        <w:rPr>
          <w:rFonts w:ascii="Times New Roman" w:hAnsi="Times New Roman"/>
          <w:color w:val="000000"/>
          <w:sz w:val="24"/>
        </w:rPr>
        <w:t xml:space="preserve">. The Board of Directors is comprised of the persons set forth under the heading of the Company’s definitive proxy statement on Schedule 14A filed with the Commission on May 27, 2026 captioned “Composition of the Board.” The qualifications of the persons serving as board members and the overall composition of the Board of Directors comply with the Sarbanes-Oxley Act of 2002 and the rules promulgated thereunder applicable to the Company and the rules of the Trading Market. At least one member of the Board of Directors qualifies as a “financial expert” as such term is defined under the Sarbanes-Oxley Act of 2002 and the rules promulgated thereunder and the rules of the Trading Market. In addition, at least a majority of the persons serving on the Board of Directors qualify as “independent” as defined under the rules of the Trading Market.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(kk)</w:t>
      </w:r>
    </w:p>
    <w:p>
      <w:pPr>
        <w:pStyle w:val="TextBody"/>
        <w:bidi w:val="0"/>
        <w:spacing w:before="0" w:after="240"/>
        <w:jc w:val="both"/>
        <w:rPr/>
      </w:pPr>
      <w:r>
        <w:rPr>
          <w:rFonts w:ascii="Times New Roman" w:hAnsi="Times New Roman"/>
          <w:color w:val="000000"/>
          <w:sz w:val="24"/>
          <w:u w:val="single"/>
        </w:rPr>
        <w:t>Environmental Laws</w:t>
      </w:r>
      <w:r>
        <w:rPr>
          <w:rFonts w:ascii="Times New Roman" w:hAnsi="Times New Roman"/>
          <w:color w:val="000000"/>
          <w:sz w:val="24"/>
        </w:rPr>
        <w:t>. The Company and its Subsidiaries (i) are in compliance with all applicable U.S. federal, state, local and non-U.S. laws relating to pollution or protection of human health or the environment (including ambient air, surface water, groundwater, land surface or subsurface strata), including laws relating to emissions, discharges or releases of chemicals, pollutants, contaminants, or toxic or hazardous substances or wastes (collectively, “</w:t>
      </w:r>
      <w:r>
        <w:rPr>
          <w:rFonts w:ascii="Times New Roman" w:hAnsi="Times New Roman"/>
          <w:color w:val="000000"/>
          <w:sz w:val="24"/>
          <w:u w:val="single"/>
        </w:rPr>
        <w:t>Hazardous Materials</w:t>
      </w:r>
      <w:r>
        <w:rPr>
          <w:color w:val="000000"/>
        </w:rPr>
        <w:t>”</w:t>
      </w:r>
      <w:r>
        <w:rPr>
          <w:rFonts w:ascii="Times New Roman" w:hAnsi="Times New Roman"/>
          <w:color w:val="000000"/>
          <w:sz w:val="24"/>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hAnsi="Times New Roman"/>
          <w:color w:val="000000"/>
          <w:sz w:val="24"/>
          <w:u w:val="single"/>
        </w:rPr>
        <w:t>Environmental Laws</w:t>
      </w:r>
      <w:r>
        <w:rPr>
          <w:color w:val="000000"/>
        </w:rPr>
        <w:t>”</w:t>
      </w:r>
      <w:r>
        <w:rPr>
          <w:rFonts w:ascii="Times New Roman" w:hAnsi="Times New Roman"/>
          <w:color w:val="000000"/>
          <w:sz w:val="24"/>
        </w:rPr>
        <w:t>); (ii) have received all permits, licenses or other approvals required of them under applicable Environmental Laws to conduct their respective businesses; and (iii) are in compliance with all material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(ll)</w:t>
      </w:r>
    </w:p>
    <w:p>
      <w:pPr>
        <w:pStyle w:val="TextBody"/>
        <w:bidi w:val="0"/>
        <w:spacing w:before="0" w:after="240"/>
        <w:jc w:val="both"/>
        <w:rPr/>
      </w:pPr>
      <w:r>
        <w:rPr>
          <w:rFonts w:ascii="Times New Roman" w:hAnsi="Times New Roman"/>
          <w:color w:val="000000"/>
          <w:sz w:val="24"/>
          <w:u w:val="single"/>
        </w:rPr>
        <w:t>Smaller Reporting Company.</w:t>
      </w:r>
      <w:r>
        <w:rPr>
          <w:color w:val="000000"/>
        </w:rPr>
        <w:t xml:space="preserve"> </w:t>
      </w:r>
      <w:r>
        <w:rPr>
          <w:rFonts w:ascii="Times New Roman" w:hAnsi="Times New Roman"/>
          <w:color w:val="000000"/>
          <w:sz w:val="24"/>
        </w:rPr>
        <w:t xml:space="preserve">As of the time of filing of the Registration Statement, the Company was a “smaller reporting company,” as defined in Rule 12b-2 under the Exchange Act.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(mm)</w:t>
      </w:r>
    </w:p>
    <w:p>
      <w:pPr>
        <w:pStyle w:val="TextBody"/>
        <w:bidi w:val="0"/>
        <w:spacing w:before="0" w:after="240"/>
        <w:jc w:val="both"/>
        <w:rPr/>
      </w:pPr>
      <w:r>
        <w:rPr>
          <w:rFonts w:ascii="Times New Roman" w:hAnsi="Times New Roman"/>
          <w:color w:val="000000"/>
          <w:sz w:val="24"/>
          <w:u w:val="single"/>
        </w:rPr>
        <w:t>Emerging Growth Company</w:t>
      </w:r>
      <w:r>
        <w:rPr>
          <w:rFonts w:ascii="Times New Roman" w:hAnsi="Times New Roman"/>
          <w:color w:val="000000"/>
          <w:sz w:val="24"/>
        </w:rPr>
        <w:t>. From the time of the initial confidential submission of the Registration Statement to the Commission (or, if earlier, the first date on which the Company engaged directly in or through any Person authorized to act on its behalf in any Testing-the-Waters Communication) through the Execution Date, the Company has been and is an “emerging growth company,” as defined in Section 2(a) of the Securities Act (an “</w:t>
      </w:r>
      <w:r>
        <w:rPr>
          <w:rFonts w:ascii="Times New Roman" w:hAnsi="Times New Roman"/>
          <w:color w:val="000000"/>
          <w:sz w:val="24"/>
          <w:u w:val="single"/>
        </w:rPr>
        <w:t>Emerging Growth Company</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(nn)</w:t>
      </w:r>
    </w:p>
    <w:p>
      <w:pPr>
        <w:pStyle w:val="TextBody"/>
        <w:bidi w:val="0"/>
        <w:spacing w:before="0" w:after="240"/>
        <w:jc w:val="both"/>
        <w:rPr/>
      </w:pPr>
      <w:r>
        <w:rPr>
          <w:rFonts w:ascii="Times New Roman" w:hAnsi="Times New Roman"/>
          <w:color w:val="000000"/>
          <w:sz w:val="24"/>
          <w:u w:val="single"/>
        </w:rPr>
        <w:t>Testing-the-Waters Communications</w:t>
      </w:r>
      <w:r>
        <w:rPr>
          <w:rFonts w:ascii="Times New Roman" w:hAnsi="Times New Roman"/>
          <w:color w:val="000000"/>
          <w:sz w:val="24"/>
        </w:rPr>
        <w:t xml:space="preserve">. The Company has not (i) alone engaged in any Testing-the-Waters Communications, other than Testing-the-Waters Communications with the consent of the Representatives and with entities that the Company reasonably believes are qualified institutional buyers within the meaning of Rule 144A under the Securities Act or institutions that are accredited investors within the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meaning of Rule 501 under the Securities Act and (ii) authorized anyone other than the Representatives to engage in Testing-the-Waters Communications. The Company confirms that the Representatives have been authorized to act on its behalf in undertaking Testing-the-Waters Communications. The Company has not distributed any Testing-the-Waters Communications other than those listed on </w:t>
      </w:r>
      <w:r>
        <w:rPr>
          <w:rFonts w:ascii="Times New Roman" w:hAnsi="Times New Roman"/>
          <w:color w:val="000000"/>
          <w:sz w:val="24"/>
          <w:u w:val="single"/>
        </w:rPr>
        <w:t>Schedule II-C</w:t>
      </w:r>
      <w:r>
        <w:rPr>
          <w:color w:val="000000"/>
        </w:rPr>
        <w:t xml:space="preserve"> </w:t>
      </w:r>
      <w:r>
        <w:rPr>
          <w:rFonts w:ascii="Times New Roman" w:hAnsi="Times New Roman"/>
          <w:color w:val="000000"/>
          <w:sz w:val="24"/>
        </w:rPr>
        <w: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(oo)</w:t>
      </w:r>
    </w:p>
    <w:p>
      <w:pPr>
        <w:pStyle w:val="TextBody"/>
        <w:bidi w:val="0"/>
        <w:spacing w:before="0" w:after="240"/>
        <w:jc w:val="both"/>
        <w:rPr/>
      </w:pPr>
      <w:r>
        <w:rPr>
          <w:rFonts w:ascii="Times New Roman" w:hAnsi="Times New Roman"/>
          <w:color w:val="000000"/>
          <w:sz w:val="24"/>
          <w:u w:val="single"/>
        </w:rPr>
        <w:t>Electronic Road Show</w:t>
      </w:r>
      <w:r>
        <w:rPr>
          <w:rFonts w:ascii="Times New Roman" w:hAnsi="Times New Roman"/>
          <w:color w:val="000000"/>
          <w:sz w:val="24"/>
        </w:rPr>
        <w:t>. The Company has made available a Bona Fide Electronic Road Show in compliance with Rule 433(d)(8)(ii) under the Securities Act such that no filing of any “road show” (as defined in Rule 433(h) under the Securities Act) is required in connection with the Offering.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(pp)</w:t>
      </w:r>
    </w:p>
    <w:p>
      <w:pPr>
        <w:pStyle w:val="TextBody"/>
        <w:bidi w:val="0"/>
        <w:spacing w:before="0" w:after="240"/>
        <w:jc w:val="both"/>
        <w:rPr/>
      </w:pPr>
      <w:r>
        <w:rPr>
          <w:rFonts w:ascii="Times New Roman" w:hAnsi="Times New Roman"/>
          <w:color w:val="000000"/>
          <w:sz w:val="24"/>
          <w:u w:val="single"/>
        </w:rPr>
        <w:t>Margin Securities</w:t>
      </w:r>
      <w:r>
        <w:rPr>
          <w:rFonts w:ascii="Times New Roman" w:hAnsi="Times New Roman"/>
          <w:color w:val="000000"/>
          <w:sz w:val="24"/>
        </w:rPr>
        <w:t>. The Company owns no “margin securities” as that term is defined in Regulation U of the Board of Governors of the Federal Reserve System (the “</w:t>
      </w:r>
      <w:r>
        <w:rPr>
          <w:rFonts w:ascii="Times New Roman" w:hAnsi="Times New Roman"/>
          <w:color w:val="000000"/>
          <w:sz w:val="24"/>
          <w:u w:val="single"/>
        </w:rPr>
        <w:t>Federal Reserve Board</w:t>
      </w:r>
      <w:r>
        <w:rPr>
          <w:color w:val="000000"/>
        </w:rPr>
        <w:t>”</w:t>
      </w:r>
      <w:r>
        <w:rPr>
          <w:rFonts w:ascii="Times New Roman" w:hAnsi="Times New Roman"/>
          <w:color w:val="000000"/>
          <w:sz w:val="24"/>
        </w:rPr>
        <w:t>), and none of the proceeds of the Offering will be, directly or indirectly, for the purpose of purchasing or carrying any margin security, for the purpose of reducing or retiring any indebtedness which was originally incurred to purchase or carry any margin security or for any other purpose which might cause any of the shares of Common Stock to be considered a “purpose credit” within the meanings of Regulation T, U or X of the Federal Reserve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(qq)</w:t>
      </w:r>
    </w:p>
    <w:p>
      <w:pPr>
        <w:pStyle w:val="TextBody"/>
        <w:bidi w:val="0"/>
        <w:spacing w:before="0" w:after="240"/>
        <w:jc w:val="both"/>
        <w:rPr/>
      </w:pPr>
      <w:r>
        <w:rPr>
          <w:rFonts w:ascii="Times New Roman" w:hAnsi="Times New Roman"/>
          <w:color w:val="000000"/>
          <w:sz w:val="24"/>
          <w:u w:val="single"/>
        </w:rPr>
        <w:t>Ineligible Issuer</w:t>
      </w:r>
      <w:r>
        <w:rPr>
          <w:rFonts w:ascii="Times New Roman" w:hAnsi="Times New Roman"/>
          <w:color w:val="000000"/>
          <w:sz w:val="24"/>
        </w:rPr>
        <w:t>. At the time of filing the Registration Statement and any post-effective amendment thereto, at the earliest time thereafter that the Company or another offering participant made a bona fide offer (within the meaning of Rule 164(h)(2) under the Securities Act) of the Public Shares and at the date hereof, the Company is not an “ineligible issuer,” as defined in Rule 405 under the Securities Act, without taking account of any determination by the Commission pursuant to Rule 405 under the Securities Act that it is not necessary that the Company be considered an ineligible issuer.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(rr)</w:t>
      </w:r>
    </w:p>
    <w:p>
      <w:pPr>
        <w:pStyle w:val="TextBody"/>
        <w:bidi w:val="0"/>
        <w:spacing w:before="0" w:after="240"/>
        <w:jc w:val="both"/>
        <w:rPr/>
      </w:pPr>
      <w:r>
        <w:rPr>
          <w:rFonts w:ascii="Times New Roman" w:hAnsi="Times New Roman"/>
          <w:color w:val="000000"/>
          <w:sz w:val="24"/>
          <w:u w:val="single"/>
        </w:rPr>
        <w:t>Covered Person.</w:t>
      </w:r>
      <w:r>
        <w:rPr>
          <w:color w:val="000000"/>
        </w:rPr>
        <w:t xml:space="preserve"> </w:t>
      </w:r>
      <w:r>
        <w:rPr>
          <w:rFonts w:ascii="Times New Roman" w:hAnsi="Times New Roman"/>
          <w:color w:val="000000"/>
          <w:sz w:val="24"/>
        </w:rPr>
        <w:t>Neither the Company nor any of its Subsidiaries is a “covered foreign person,” as that term is defined in 31 C.F.R. § 850.209. Neither the Company nor any of its Subsidiaries is a “person of a country of concern”, as that term is defined in 31 C.F.R. § 850.221, that currently engages, or has plans to engage, directly or indirectly, in a “covered activity”, as that term is defined in 31 C.F.R. § 850.208.</w:t>
      </w:r>
      <w:r>
        <w:rPr>
          <w:color w:val="000000"/>
        </w:rPr>
        <w:t xml:space="preserve"> </w:t>
      </w:r>
      <w:r>
        <w:rPr>
          <w:rFonts w:ascii="Times New Roman" w:hAnsi="Times New Roman"/>
          <w:color w:val="000000"/>
          <w:sz w:val="24"/>
        </w:rPr>
        <w:t>The Company also does not, directly or indirectly, hold a board seat on, have a voting or equity interest in, or have any contractual power to direct or cause the direction of the management or policies of any “covered foreign person,” as that term is defined in 31 C.F.R. § 850.209.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(ss)</w:t>
      </w:r>
    </w:p>
    <w:p>
      <w:pPr>
        <w:pStyle w:val="TextBody"/>
        <w:bidi w:val="0"/>
        <w:spacing w:before="0" w:after="240"/>
        <w:jc w:val="both"/>
        <w:rPr/>
      </w:pPr>
      <w:r>
        <w:rPr>
          <w:rFonts w:ascii="Times New Roman" w:hAnsi="Times New Roman"/>
          <w:color w:val="000000"/>
          <w:sz w:val="24"/>
          <w:u w:val="single"/>
        </w:rPr>
        <w:t>Nationally Recognized Statistical Rating Organization.</w:t>
      </w:r>
      <w:r>
        <w:rPr>
          <w:color w:val="000000"/>
        </w:rPr>
        <w:t xml:space="preserve"> </w:t>
      </w:r>
      <w:r>
        <w:rPr>
          <w:rFonts w:ascii="Times New Roman" w:hAnsi="Times New Roman"/>
          <w:color w:val="000000"/>
          <w:sz w:val="24"/>
        </w:rPr>
        <w:t>The Company does not have any securities rated by any “nationally recognized statistical rating organization,” as such term is defined in Section 3(a)(62) of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(tt)</w:t>
      </w:r>
    </w:p>
    <w:p>
      <w:pPr>
        <w:pStyle w:val="TextBody"/>
        <w:bidi w:val="0"/>
        <w:spacing w:before="0" w:after="240"/>
        <w:jc w:val="both"/>
        <w:rPr/>
      </w:pPr>
      <w:r>
        <w:rPr>
          <w:rFonts w:ascii="Times New Roman" w:hAnsi="Times New Roman"/>
          <w:color w:val="000000"/>
          <w:sz w:val="24"/>
          <w:u w:val="single"/>
        </w:rPr>
        <w:t>Privacy Laws</w:t>
      </w:r>
      <w:r>
        <w:rPr>
          <w:rFonts w:ascii="Times New Roman" w:hAnsi="Times New Roman"/>
          <w:color w:val="000000"/>
          <w:sz w:val="24"/>
        </w:rPr>
        <w:t xml:space="preserve">. Except as would not have or reasonably be expected to result in a Material Adverse Effect, the Company and its Subsidiaries are in compliance with all applicable data privacy and security laws and regulations (including all applicable and legally binding codes of conduct and practice, guidance, and opinions relating to data protection and privacy issued in any relevant jurisdiction by any governmental, judicial, regulatory or supervisory authority), including, as applicable, the European Union General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Data Protection Regulation (EU 2016/679), and as it forms part of United Kingdom domestic law by virtue of the European Union (Withdrawal) Act 2018 (to the extent applicable to the Company and its Subsidiaries) (collectively, “</w:t>
      </w:r>
      <w:r>
        <w:rPr>
          <w:rFonts w:ascii="Times New Roman" w:hAnsi="Times New Roman"/>
          <w:color w:val="000000"/>
          <w:sz w:val="24"/>
          <w:u w:val="single"/>
        </w:rPr>
        <w:t>GDPR</w:t>
      </w:r>
      <w:r>
        <w:rPr>
          <w:color w:val="000000"/>
        </w:rPr>
        <w:t>”</w:t>
      </w:r>
      <w:r>
        <w:rPr>
          <w:rFonts w:ascii="Times New Roman" w:hAnsi="Times New Roman"/>
          <w:color w:val="000000"/>
          <w:sz w:val="24"/>
        </w:rPr>
        <w:t>) (collectively, “</w:t>
      </w:r>
      <w:r>
        <w:rPr>
          <w:rFonts w:ascii="Times New Roman" w:hAnsi="Times New Roman"/>
          <w:color w:val="000000"/>
          <w:sz w:val="24"/>
          <w:u w:val="single"/>
        </w:rPr>
        <w:t>Privacy Laws</w:t>
      </w:r>
      <w:r>
        <w:rPr>
          <w:color w:val="000000"/>
        </w:rPr>
        <w:t>”</w:t>
      </w:r>
      <w:r>
        <w:rPr>
          <w:rFonts w:ascii="Times New Roman" w:hAnsi="Times New Roman"/>
          <w:color w:val="000000"/>
          <w:sz w:val="24"/>
        </w:rPr>
        <w:t>). Except as would not have or reasonably be expected to result in a Material Adverse Effect,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hAnsi="Times New Roman"/>
          <w:color w:val="000000"/>
          <w:sz w:val="24"/>
          <w:u w:val="single"/>
        </w:rPr>
        <w:t>Policies</w:t>
      </w:r>
      <w:r>
        <w:rPr>
          <w:color w:val="000000"/>
        </w:rPr>
        <w:t>”</w:t>
      </w:r>
      <w:r>
        <w:rPr>
          <w:rFonts w:ascii="Times New Roman" w:hAnsi="Times New Roman"/>
          <w:color w:val="000000"/>
          <w:sz w:val="24"/>
        </w:rPr>
        <w:t>). The Company provides accurate notice of its Policies to its customers, employees, third party vendors and representatives, in each case, to the extent required by Privacy Law or the Policies, except as would not have or reasonably be expected to result in a Material Adverse Effect. “</w:t>
      </w:r>
      <w:r>
        <w:rPr>
          <w:rFonts w:ascii="Times New Roman" w:hAnsi="Times New Roman"/>
          <w:color w:val="000000"/>
          <w:sz w:val="24"/>
          <w:u w:val="single"/>
        </w:rPr>
        <w:t>Personal Data</w:t>
      </w:r>
      <w:r>
        <w:rPr>
          <w:color w:val="000000"/>
        </w:rPr>
        <w:t xml:space="preserve">” </w:t>
      </w:r>
      <w:r>
        <w:rPr>
          <w:rFonts w:ascii="Times New Roman" w:hAnsi="Times New Roman"/>
          <w:color w:val="000000"/>
          <w:sz w:val="24"/>
        </w:rPr>
        <w:t>means data or information that is defined as “personal data,” “personal information,” or any analogous term under applicable law, including any such data or information that (i) constitutes a natural persons’ name, street address, telephone number, email address, photograph, social security number, bank information, or customer or account number and (ii) any other piece of information that allows the identification of such natural person, or his or her family, or permits the collection or analysis of any data related to an identified person’s health or sexual orientation. Except as would not have or reasonably be expected to result in a Material Adverse Effect, neither the Company nor any of its Subsidiaries, (i) has received written notice alleging its actual or potential violation of Privacy Laws, and has no knowledge of any event or condition that is reasonably expected to result in any such notice, (ii) is currently conducting or paying for, in whole or in part, any investigation, remediation or other corrective action pursuant to any Privacy Order in connection with violations of Privacy Law, or (iii) is a party to any regulatory order, consent decree, or agreement with a regulator that imposed any obligation or liability on the Company or its Subsidiaries under any Privacy Law (“</w:t>
      </w:r>
      <w:r>
        <w:rPr>
          <w:rFonts w:ascii="Times New Roman" w:hAnsi="Times New Roman"/>
          <w:color w:val="000000"/>
          <w:sz w:val="24"/>
          <w:u w:val="single"/>
        </w:rPr>
        <w:t>Privacy Order</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(uu)</w:t>
      </w:r>
    </w:p>
    <w:p>
      <w:pPr>
        <w:pStyle w:val="TextBody"/>
        <w:bidi w:val="0"/>
        <w:spacing w:before="0" w:after="240"/>
        <w:jc w:val="both"/>
        <w:rPr/>
      </w:pPr>
      <w:r>
        <w:rPr>
          <w:rFonts w:ascii="Times New Roman" w:hAnsi="Times New Roman"/>
          <w:color w:val="000000"/>
          <w:sz w:val="24"/>
          <w:u w:val="single"/>
        </w:rPr>
        <w:t>IT Systems</w:t>
      </w:r>
      <w:r>
        <w:rPr>
          <w:rFonts w:ascii="Times New Roman" w:hAnsi="Times New Roman"/>
          <w:color w:val="000000"/>
          <w:sz w:val="24"/>
        </w:rPr>
        <w:t>. Except as would not have or reasonably be expected to result in a Material Adverse Effect, the Company and its Subsidiaries’ information technology assets and equipment, computers, systems, networks, hardware, software, websites, applications, and databases (collectively, “</w:t>
      </w:r>
      <w:r>
        <w:rPr>
          <w:rFonts w:ascii="Times New Roman" w:hAnsi="Times New Roman"/>
          <w:color w:val="000000"/>
          <w:sz w:val="24"/>
          <w:u w:val="single"/>
        </w:rPr>
        <w:t>IT Systems</w:t>
      </w:r>
      <w:r>
        <w:rPr>
          <w:color w:val="000000"/>
        </w:rPr>
        <w:t>”</w:t>
      </w:r>
      <w:r>
        <w:rPr>
          <w:rFonts w:ascii="Times New Roman" w:hAnsi="Times New Roman"/>
          <w:color w:val="000000"/>
          <w:sz w:val="24"/>
        </w:rPr>
        <w:t xml:space="preserve">) operate and perform as required in connection with the operation of the business of the Company and its Subsidiaries as currently conducted, free and clear of all material bugs, errors, and defects, and, to the Company’s knowledge, material Trojan horses, time bombs, malware and other corruptants. Except as would not have or reasonably be expected to result in a Material Adverse Effect, (i) the Company and its Subsidiaries have in place, as at the date of this Agreement, controls, policies, procedures, and safeguards designed to maintain and protect their material confidential information and the integrity, continuous operation, redundancy and security of all IT Systems and data (including Personal Data) used by the Company and its Subsidiaries in their businesses, and (ii) in the two years immediately preceding the date of this Agreement, to Company’s knowledge, there have been no breaches, violations, outages or unauthorized uses of, or accesses to, the same, except for those that have been remedied without material cost or liability or the duty to notify any other person, nor are there any incidents currently under internal review or investigations relating to the same. Except as would not have or reasonably be expected to result in a Material Adverse Effect, to the Company’s knowledge, the Company and its Subsidiaries are presently in compliance with all applicable laws and legally binding statutes, judgments, orders, rules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regulations of any court or arbitrator or governmental or regulatory authority, and the Company’s and its Subsidiaries’ internal policies and contractual obligations, in each case, relating to the privacy and security of IT Systems and to the protection of such IT Systems from unauthorized use, access, misappropriation or modification.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(vv)</w:t>
      </w:r>
    </w:p>
    <w:p>
      <w:pPr>
        <w:pStyle w:val="TextBody"/>
        <w:bidi w:val="0"/>
        <w:spacing w:before="0" w:after="240"/>
        <w:jc w:val="both"/>
        <w:rPr/>
      </w:pPr>
      <w:r>
        <w:rPr>
          <w:rFonts w:ascii="Times New Roman" w:hAnsi="Times New Roman"/>
          <w:color w:val="000000"/>
          <w:sz w:val="24"/>
          <w:u w:val="single"/>
        </w:rPr>
        <w:t>Artificial Intelligence</w:t>
      </w:r>
      <w:r>
        <w:rPr>
          <w:rFonts w:ascii="Times New Roman" w:hAnsi="Times New Roman"/>
          <w:color w:val="000000"/>
          <w:sz w:val="24"/>
        </w:rPr>
        <w:t>. Except as would not have or reasonably be expected to result in a Material Adverse Effect, (i) the Company and its Subsidiaries are taking or have taken actions designed to prepare to comply with the European Union Artificial Intelligence Act (to the extent applicable to the Company and its Subsidiaries) and (ii) neither the Company nor any of its Subsidiaries, (A) has received written notice alleging any actual or potential violation of the EU AI Act by the Company or its Subsidiaries from any governmental or regulatory agencies or bodies, (B) is currently conducting or paying for, in whole or in part, any investigation, remediation or other corrective action in connection with an EU AI Act Order that is by or mandated by any governmental or regulatory agency or body pursuant to violations of the EU AI Act or (C) is a party to any regulatory order, consent decree, or agreement with any governmental or regulatory agency or body that imposed any obligation or liability on the Company or its Subsidiaries under the EU AI Act (“</w:t>
      </w:r>
      <w:r>
        <w:rPr>
          <w:rFonts w:ascii="Times New Roman" w:hAnsi="Times New Roman"/>
          <w:color w:val="000000"/>
          <w:sz w:val="24"/>
          <w:u w:val="single"/>
        </w:rPr>
        <w:t>EU AI Act Order</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w:t>
      </w:r>
    </w:p>
    <w:p>
      <w:pPr>
        <w:pStyle w:val="TextBody"/>
        <w:bidi w:val="0"/>
        <w:spacing w:before="0" w:after="240"/>
        <w:jc w:val="both"/>
        <w:rPr/>
      </w:pPr>
      <w:r>
        <w:rPr>
          <w:rFonts w:ascii="Times New Roman" w:hAnsi="Times New Roman"/>
          <w:color w:val="000000"/>
          <w:sz w:val="24"/>
          <w:u w:val="single"/>
        </w:rPr>
        <w:t>Lock-Up Agreements</w:t>
      </w:r>
      <w:r>
        <w:rPr>
          <w:rFonts w:ascii="Times New Roman" w:hAnsi="Times New Roman"/>
          <w:color w:val="000000"/>
          <w:sz w:val="24"/>
        </w:rPr>
        <w:t xml:space="preserve">. The Representatives have received an executed Lock-Up Agreement from each of the parties specified in </w:t>
      </w:r>
      <w:r>
        <w:rPr>
          <w:rFonts w:ascii="Times New Roman" w:hAnsi="Times New Roman"/>
          <w:color w:val="000000"/>
          <w:sz w:val="24"/>
          <w:u w:val="single"/>
        </w:rPr>
        <w:t>Schedule III</w:t>
      </w:r>
      <w:r>
        <w:rPr>
          <w:color w:val="000000"/>
        </w:rPr>
        <w:t xml:space="preserve"> </w:t>
      </w:r>
      <w:r>
        <w:rPr>
          <w:rFonts w:ascii="Times New Roman" w:hAnsi="Times New Roman"/>
          <w:color w:val="000000"/>
          <w:sz w:val="24"/>
        </w:rPr>
        <w:t>(the “</w:t>
      </w:r>
      <w:r>
        <w:rPr>
          <w:rFonts w:ascii="Times New Roman" w:hAnsi="Times New Roman"/>
          <w:color w:val="000000"/>
          <w:sz w:val="24"/>
          <w:u w:val="single"/>
        </w:rPr>
        <w:t>Lock-Up Parties</w:t>
      </w:r>
      <w:r>
        <w:rPr>
          <w:color w:val="000000"/>
        </w:rPr>
        <w:t>”</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ARTICLE IV.</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OTHER AGREEMENTS OF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both"/>
        <w:rPr/>
      </w:pPr>
      <w:r>
        <w:rPr>
          <w:rFonts w:ascii="Times New Roman" w:hAnsi="Times New Roman"/>
          <w:color w:val="000000"/>
          <w:sz w:val="24"/>
          <w:u w:val="single"/>
        </w:rPr>
        <w:t>Delivery to the Underwriters of Registration Statement and Prospectus</w:t>
      </w:r>
      <w:r>
        <w:rPr>
          <w:rFonts w:ascii="Times New Roman" w:hAnsi="Times New Roman"/>
          <w:color w:val="000000"/>
          <w:sz w:val="24"/>
        </w:rPr>
        <w:t>. The Company has delivered or made available or shall deliver or make available to the Representatives and counsel for the Representatives, without charge, copies of the Registration Statement as originally filed and each amendment thereto (including exhibits filed therewith) and copies of all consents and certificates of experts, and will also deliver to the Underwriters, without charge, a conformed copy of the Registration Statement as originally filed and each amendment thereto (without exhibits) for each of the Underwriters. The Company has delivered or made available or will deliver or make available to each Underwriter, without charge, as many copies of each Preliminary Prospectus as such Underwriter reasonably requested, and the Company hereby consents to the use of such copies for purposes permitted by the Securities Act. The Company will furnish to each Underwriter, without charge, during the period when a prospectus relating to the Public Shares is (or, but for the exception afforded by Rule 172 under the Securities Act, would be) required to be delivered under the Securities Act, such number of copies of the Prospectus (as amended or supplemented) as such Underwriter may reasonably request. The copies of the Registration Statement and each amendment thereto, and the Prospectus and any amendments or supplements thereto, furnished to the Underwriters will be identical to the electronically transmitted copies thereof filed with the Commission pursuant to EDGAR, except to the extent permitted by Regulation S-T. The Company shall not file any such amendment or supplement to which the Representatives shall reasonably object in writing.</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4.2</w:t>
      </w:r>
    </w:p>
    <w:p>
      <w:pPr>
        <w:pStyle w:val="TextBody"/>
        <w:bidi w:val="0"/>
        <w:jc w:val="both"/>
        <w:rPr/>
      </w:pPr>
      <w:r>
        <w:rPr>
          <w:rFonts w:ascii="Times New Roman" w:hAnsi="Times New Roman"/>
          <w:color w:val="000000"/>
          <w:sz w:val="24"/>
          <w:u w:val="single"/>
        </w:rPr>
        <w:t>Federal Securities Laws</w:t>
      </w:r>
      <w:r>
        <w:rPr>
          <w:rFonts w:ascii="Times New Roman" w:hAnsi="Times New Roman"/>
          <w:color w:val="000000"/>
          <w:sz w:val="24"/>
        </w:rPr>
        <w: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pPr>
      <w:r>
        <w:rPr>
          <w:rFonts w:ascii="Times New Roman" w:hAnsi="Times New Roman"/>
          <w:color w:val="000000"/>
          <w:sz w:val="24"/>
          <w:u w:val="single"/>
        </w:rPr>
        <w:t>Compliance</w:t>
      </w:r>
      <w:r>
        <w:rPr>
          <w:rFonts w:ascii="Times New Roman" w:hAnsi="Times New Roman"/>
          <w:color w:val="000000"/>
          <w:sz w:val="24"/>
        </w:rPr>
        <w:t>. During the time when a Prospectus is required to be delivered under the Securities Act, the Company will use its best efforts to comply with all requirements imposed upon it by the Securities Act and the rules and regulations thereunder and the Exchange Act and the rules and regulations thereunder, as from time to time in force, so far as necessary to permit the continuance of sales of or dealings in the Public Shares in accordance with the provisions hereof and the Prospectus. If at any time when a Prospectus relating to the Public Shares is required to be delivered under the Securities Act, any event shall have occurred as a result of which, in the reasonable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at any time to amend the Prospectus to comply with the Securities Act, the Company will notify the Underwriters promptly and prepare and file with the Commission, subject to Section 4.1 hereof, an appropriate, in the Company’s reasonable opinion, amendment or supplement in accordance with Section 10 of the Securities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Filing of Prospectus</w:t>
      </w:r>
      <w:r>
        <w:rPr>
          <w:rFonts w:ascii="Times New Roman" w:hAnsi="Times New Roman"/>
          <w:color w:val="000000"/>
          <w:sz w:val="24"/>
        </w:rPr>
        <w:t>. The Company will file the Prospectus (in form and substance satisfactory to the Representatives) with the Commission pursuant to the requirements of Rule 424.</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Free Writing Prospectuses</w:t>
      </w:r>
      <w:r>
        <w:rPr>
          <w:rFonts w:ascii="Times New Roman" w:hAnsi="Times New Roman"/>
          <w:color w:val="000000"/>
          <w:sz w:val="24"/>
        </w:rPr>
        <w:t>. The Company represents and agrees that it has not made and will not make any offer relating to the Public Shares that would constitute an Issuer Free Writing Prospectus, or that would otherwise constitute a “free writing prospectus,” or a portion thereof, required to be filed by the Company with the Commission or retained by the Company under Rule 433, without the prior written consent of the Representatives; provided that the Representatives shall be deemed to have consented to each Issuer General Use Free Writing Prospectus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Underwriters as an “issuer free writing prospectus” as defined in Rule 433 of the Securities Act, and has complied and will comply with the applicable requirements of Rule 433 of the Securities Act, including timely Commission filing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Underwriters and will promptly amend or supplement, at its own expense, such Issuer Free Writing Prospectus to eliminate or correct such conflict, untrue statement or omission.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4.3</w:t>
      </w:r>
    </w:p>
    <w:p>
      <w:pPr>
        <w:pStyle w:val="TextBody"/>
        <w:bidi w:val="0"/>
        <w:jc w:val="both"/>
        <w:rPr/>
      </w:pPr>
      <w:r>
        <w:rPr>
          <w:rFonts w:ascii="Times New Roman" w:hAnsi="Times New Roman"/>
          <w:color w:val="000000"/>
          <w:sz w:val="24"/>
          <w:u w:val="single"/>
        </w:rPr>
        <w:t>Testing-the-Waters Communications</w:t>
      </w:r>
      <w:r>
        <w:rPr>
          <w:rFonts w:ascii="Times New Roman" w:hAnsi="Times New Roman"/>
          <w:color w:val="000000"/>
          <w:sz w:val="24"/>
        </w:rPr>
        <w:t xml:space="preserve">. If at any time following the distribution of any Testing-the-Waters Communication there occurred or occurs an event or development as a result of which such Written Testing-the-Waters Communication included or would include an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untrue statement of a material fact or omitted or would omit to state a material fact necessary in order to make the statements therein, in the light of the circumstances existing at that subsequent time, not misleading, the Company shall promptly notify the Representatives and shall promptly amend or supplement, at its own expense, such Testing-the-Waters Communication to eliminate or correct such untrue statement or omission.</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4.4</w:t>
      </w:r>
    </w:p>
    <w:p>
      <w:pPr>
        <w:pStyle w:val="TextBody"/>
        <w:bidi w:val="0"/>
        <w:jc w:val="both"/>
        <w:rPr/>
      </w:pPr>
      <w:r>
        <w:rPr>
          <w:rFonts w:ascii="Times New Roman" w:hAnsi="Times New Roman"/>
          <w:color w:val="000000"/>
          <w:sz w:val="24"/>
          <w:u w:val="single"/>
        </w:rPr>
        <w:t>Notice to the Underwriters</w:t>
      </w:r>
      <w:r>
        <w:rPr>
          <w:rFonts w:ascii="Times New Roman" w:hAnsi="Times New Roman"/>
          <w:color w:val="000000"/>
          <w:sz w:val="24"/>
        </w:rPr>
        <w:t>. The Company will notify the Underwriters promptly and confirm the notice in writing: (i) of the effectiveness of the Registration Statement and any amendment thereto; (ii) of the issuance by the Commission of any stop order or of the initiation, or the threatening, of any proceeding for that purpose; (iii) of the issuance by any state securities commission of any proceedings for the suspension of the qualification of the Public Shares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this Section 4.4 that, in the judgment of the Company, makes any statement of a material fact made in the Registration Statement or the Prospectus untrue or that requires the making of any changes in the Registration Statement or the Prospectus in order to make the statements therein,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4.5</w:t>
      </w:r>
    </w:p>
    <w:p>
      <w:pPr>
        <w:pStyle w:val="TextBody"/>
        <w:bidi w:val="0"/>
        <w:spacing w:before="0" w:after="240"/>
        <w:jc w:val="left"/>
        <w:rPr/>
      </w:pPr>
      <w:r>
        <w:rPr>
          <w:rFonts w:ascii="Times New Roman" w:hAnsi="Times New Roman"/>
          <w:color w:val="000000"/>
          <w:sz w:val="24"/>
          <w:u w:val="single"/>
        </w:rPr>
        <w:t>Reports to Underwriters</w:t>
      </w:r>
      <w:r>
        <w:rPr>
          <w:rFonts w:ascii="Times New Roman" w:hAnsi="Times New Roman"/>
          <w:color w:val="000000"/>
          <w:sz w:val="24"/>
        </w:rPr>
        <w:t>. For a period of two years from the date of this Agreement, so long as the Shares are outstanding, the Company will furnish to the Representatives, as soon as they are available, copies of all reports or other communications (financial or other) furnished to holders of the Common Stock, and copies of any reports and financial statements furnished to or filed with the Commission or any national securities exchange or automatic quotation system; provided the Company will be deemed to have furnished such reports and financial statements to the Representatives to the extent they are filed on EDGAR.</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4.6</w:t>
      </w:r>
    </w:p>
    <w:p>
      <w:pPr>
        <w:pStyle w:val="TextBody"/>
        <w:bidi w:val="0"/>
        <w:jc w:val="both"/>
        <w:rPr/>
      </w:pPr>
      <w:r>
        <w:rPr>
          <w:rFonts w:ascii="Times New Roman" w:hAnsi="Times New Roman"/>
          <w:color w:val="000000"/>
          <w:sz w:val="24"/>
          <w:u w:val="single"/>
        </w:rPr>
        <w:t>Expenses of the Offering</w:t>
      </w:r>
      <w:r>
        <w:rPr>
          <w:rFonts w:ascii="Times New Roman" w:hAnsi="Times New Roman"/>
          <w:color w:val="000000"/>
          <w:sz w:val="24"/>
        </w:rPr>
        <w:t xml:space="preserve">. The Company hereby agrees to pay on each of the Closing Date and each Option Closing Date, if any, to the extent not paid at the Closing Date, all expenses incident to the performance of the obligations of the Company under this Agreement, including, but not limited to: (a) all filing fees and communication expenses relating to the registration of the Public Shares to be sold in the Offering (including the Option Shares) with the Commission; (b) FINRA Public Offering Filing System fees associated with the review of the Offering by FINRA and the reasonable and documented fees and expenses of counsel related thereto; (c) all fees, expenses and disbursements relating to the registration or qualification of such Public Shares under the “blue sky” securities laws of such states and other non-U.S. jurisdictions as the Representatives may reasonably designate (including, without limitation, all filing and registration fees, and the reasonable and documented fees and expenses of “blue sky” counsel; (d) the reasonable and documented costs of all mailing and printing of the underwriting documents (including, without limitation, this Agreement and, if appropriate, any agreement among underwriters, selected dealers’ agreement, underwriters’ questionnaire and power of attorney), Registration Statements, Prospectuses and all amendments, supplements and exhibits thereto and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 xml:space="preserve">as many preliminary and final Prospectuses as the Representatives may reasonably deem necessary; (e) the costs and expenses of the Company’s public relations firm; (f) the costs of preparing, printing and delivering the Public Shares; (g) fees and expenses of the Transfer Agent for the Public Shares (including, without limitation, any fees required for same-day processing of any instruction letter delivered by the Company); (h) stock transfer and/or stamp taxes, if any, payable upon the transfer of securities from the Company to the Underwriters (other than New York state stock transfer tax, to the extent refundable to the Underwriters); (i) the fees and expenses of the Company’s accountants; (j) the fees and expenses of the Company’s legal counsel and other agents and representatives (excluding the Underwriters); (k) the Underwriters’ costs of mailing prospectuses to prospective investors; (l) reasonable and documented fees and expenses of the Underwriters, including reasonable and documented fees and expenses of Underwriters’ Counsel and counsel pursuant to the preceding clauses (b) and (c), not to exceed $100,000 in the aggregate. It is understood, however, that, except as provided in this </w:t>
      </w:r>
      <w:r>
        <w:rPr>
          <w:rFonts w:ascii="Times New Roman" w:hAnsi="Times New Roman"/>
          <w:color w:val="000000"/>
          <w:sz w:val="24"/>
          <w:u w:val="single"/>
        </w:rPr>
        <w:t>Section 4.6</w:t>
      </w:r>
      <w:r>
        <w:rPr>
          <w:rFonts w:ascii="Times New Roman" w:hAnsi="Times New Roman"/>
          <w:color w:val="000000"/>
          <w:sz w:val="24"/>
        </w:rPr>
        <w:t>, the Underwriters shall pay all of their costs and expenses, including the fees of their counsel, stock transfer taxes on resale of any of the Public Shares by them, and any advertising expenses connected with any offers they may make.</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4.7</w:t>
      </w:r>
    </w:p>
    <w:p>
      <w:pPr>
        <w:pStyle w:val="TextBody"/>
        <w:bidi w:val="0"/>
        <w:jc w:val="both"/>
        <w:rPr/>
      </w:pPr>
      <w:r>
        <w:rPr>
          <w:rFonts w:ascii="Times New Roman" w:hAnsi="Times New Roman"/>
          <w:color w:val="000000"/>
          <w:sz w:val="24"/>
          <w:u w:val="single"/>
        </w:rPr>
        <w:t>Application of Net Proceeds</w:t>
      </w:r>
      <w:r>
        <w:rPr>
          <w:rFonts w:ascii="Times New Roman" w:hAnsi="Times New Roman"/>
          <w:color w:val="000000"/>
          <w:sz w:val="24"/>
        </w:rPr>
        <w:t>. The Company will apply the net proceeds from the Offering received by it in a manner consistent with the application described under the caption “Use of Proceeds” in the Prospectus.</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4.8</w:t>
      </w:r>
    </w:p>
    <w:p>
      <w:pPr>
        <w:pStyle w:val="TextBody"/>
        <w:bidi w:val="0"/>
        <w:jc w:val="both"/>
        <w:rPr/>
      </w:pPr>
      <w:r>
        <w:rPr>
          <w:rFonts w:ascii="Times New Roman" w:hAnsi="Times New Roman"/>
          <w:color w:val="000000"/>
          <w:sz w:val="24"/>
          <w:u w:val="single"/>
        </w:rPr>
        <w:t>Delivery of Earnings Statements to Security Holders</w:t>
      </w:r>
      <w:r>
        <w:rPr>
          <w:rFonts w:ascii="Times New Roman" w:hAnsi="Times New Roman"/>
          <w:color w:val="000000"/>
          <w:sz w:val="24"/>
        </w:rPr>
        <w:t>. The Company will make generally available to its security holders as soon as practicable, but not later than the first day of the fifteenth full calendar month following the Execution Date, an earnings statement (which need not be certified by independent public or independent certified public accountants unless required by the Securities Act or the Rules and Regulations under the Securities Act, but which shall satisfy the provisions of Rule 158(a) under Section 11(a) of the Securities Act) covering a period of at least twelve (12) consecutive months beginning after the Execution Date, provided, that the documents filed by the Company with the Commission shall be deemed to be delivered.</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4.9</w:t>
      </w:r>
    </w:p>
    <w:p>
      <w:pPr>
        <w:pStyle w:val="TextBody"/>
        <w:bidi w:val="0"/>
        <w:jc w:val="both"/>
        <w:rPr/>
      </w:pPr>
      <w:r>
        <w:rPr>
          <w:rFonts w:ascii="Times New Roman" w:hAnsi="Times New Roman"/>
          <w:color w:val="000000"/>
          <w:sz w:val="24"/>
          <w:u w:val="single"/>
        </w:rPr>
        <w:t>Stabilization</w:t>
      </w:r>
      <w:r>
        <w:rPr>
          <w:rFonts w:ascii="Times New Roman" w:hAnsi="Times New Roman"/>
          <w:color w:val="000000"/>
          <w:sz w:val="24"/>
        </w:rPr>
        <w:t>. Neither the Company, nor, to its knowledge, any of its employees, directors or stockholders (without the consent of the Representatives) has taken or shall take, directly or 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Public Shares.</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4.10</w:t>
      </w:r>
    </w:p>
    <w:p>
      <w:pPr>
        <w:pStyle w:val="TextBody"/>
        <w:bidi w:val="0"/>
        <w:jc w:val="both"/>
        <w:rPr/>
      </w:pPr>
      <w:r>
        <w:rPr>
          <w:rFonts w:ascii="Times New Roman" w:hAnsi="Times New Roman"/>
          <w:color w:val="000000"/>
          <w:sz w:val="24"/>
          <w:u w:val="single"/>
        </w:rPr>
        <w:t>No Fiduciary Duties</w:t>
      </w:r>
      <w:r>
        <w:rPr>
          <w:rFonts w:ascii="Times New Roman" w:hAnsi="Times New Roman"/>
          <w:color w:val="000000"/>
          <w:sz w:val="24"/>
        </w:rPr>
        <w:t xml:space="preserve">. The Company acknowledges and agrees that the Underwriters’ responsibility to the Company is solely contractual and commercial in nature, based on arms-length negotiations and that neither the Underwriters nor their affiliates or any selected dealer shall be deemed to be acting in a fiduciary capacity, or otherwise owes any fiduciary duty to the Company or any of its Affiliates in connection with the Offering and the other transactions contemplated by this Agreement. Notwithstanding anything in this Agreement to the contrary, the Company acknowledges that the Underwriters may have financial interests in the success of the Offering that are not limited to the difference between the price to the public and the purchase price paid to the Company by the Underwriters for the shares and the Underwriters have no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obligation to disclose, or account to the Company for, any of such additional financial interests.</w:t>
      </w:r>
      <w:r>
        <w:rPr>
          <w:color w:val="000000"/>
        </w:rPr>
        <w:t xml:space="preserve"> </w:t>
      </w:r>
      <w:r>
        <w:rPr>
          <w:rFonts w:ascii="Times New Roman" w:hAnsi="Times New Roman"/>
          <w:color w:val="000000"/>
          <w:sz w:val="24"/>
        </w:rPr>
        <w:t>The Company agrees that it will not claim that the Underwriters, or any of them, owes a fiduciary or similar duty to the Company, in connection with the Offering or the process leading thereto.</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4.11</w:t>
      </w:r>
    </w:p>
    <w:p>
      <w:pPr>
        <w:pStyle w:val="TextBody"/>
        <w:bidi w:val="0"/>
        <w:spacing w:before="0" w:after="240"/>
        <w:jc w:val="both"/>
        <w:rPr/>
      </w:pPr>
      <w:r>
        <w:rPr>
          <w:rFonts w:ascii="Times New Roman" w:hAnsi="Times New Roman"/>
          <w:color w:val="000000"/>
          <w:sz w:val="24"/>
          <w:u w:val="single"/>
        </w:rPr>
        <w:t>Listing of Common Stock</w:t>
      </w:r>
      <w:r>
        <w:rPr>
          <w:rFonts w:ascii="Times New Roman" w:hAnsi="Times New Roman"/>
          <w:color w:val="000000"/>
          <w:sz w:val="24"/>
        </w:rPr>
        <w:t xml:space="preserve">. The Company hereby agrees to use best efforts to maintain the listing or quotation of the Common Stock on The Nasdaq Stock Market.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4.12</w:t>
      </w:r>
    </w:p>
    <w:p>
      <w:pPr>
        <w:pStyle w:val="TextBody"/>
        <w:bidi w:val="0"/>
        <w:spacing w:before="0" w:after="240"/>
        <w:jc w:val="both"/>
        <w:rPr/>
      </w:pPr>
      <w:r>
        <w:rPr>
          <w:rFonts w:ascii="Times New Roman" w:hAnsi="Times New Roman"/>
          <w:color w:val="000000"/>
          <w:sz w:val="24"/>
          <w:u w:val="single"/>
        </w:rPr>
        <w:t>Subsequent Equity Sales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Company, on behalf of itself and any successor entity, agrees that, without the prior written consent of the Representatives, it will not, for a period of 90 days after the date of this Agreement (the “</w:t>
      </w:r>
      <w:r>
        <w:rPr>
          <w:rFonts w:ascii="Times New Roman" w:hAnsi="Times New Roman"/>
          <w:color w:val="000000"/>
          <w:sz w:val="24"/>
          <w:u w:val="single"/>
        </w:rPr>
        <w:t>Lock-Up Period</w:t>
      </w:r>
      <w:r>
        <w:rPr>
          <w:color w:val="000000"/>
        </w:rPr>
        <w:t>”</w:t>
      </w:r>
      <w:r>
        <w:rPr>
          <w:rFonts w:ascii="Times New Roman" w:hAnsi="Times New Roman"/>
          <w:color w:val="000000"/>
          <w:sz w:val="24"/>
        </w:rPr>
        <w:t xml:space="preserve">),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(ii) publicly file or caused to be publicly filed any registration statement with the Commission relating to the offering of any shares of capital stock of the Company or any securities convertible into or exercisable or exchangeable for shares of capital stock of the Company; (iii) complete any offering of debt securities of the Company, other than entering into a line of credit with a traditional bank or (iv) enter into any swap or other arrangement that transfers to another, in whole or in part, any of the economic consequences of ownership of capital stock of the Company, whether any such transaction described in clause (i), (ii), (iii) or (iv) above is to be settled by delivery of shares of capital stock of the Company or such other securities, in cash or otherwise.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The restrictions contained in this Section 4.12 shall not apply to (i) the shares of Common Stock to be sold hereunder</w:t>
      </w:r>
      <w:r>
        <w:rPr>
          <w:color w:val="000000"/>
        </w:rPr>
        <w:t xml:space="preserve"> </w:t>
      </w:r>
      <w:r>
        <w:rPr>
          <w:rFonts w:ascii="Times New Roman" w:hAnsi="Times New Roman"/>
          <w:color w:val="000000"/>
          <w:sz w:val="24"/>
        </w:rPr>
        <w:t>or the issuance, transfer, cancellation or exchange of securities of the Company or any Subsidiary in connection with the transactions contemplated by this Agreement, (ii) the issuance by the Company of shares of Common Stock upon the exercise of a stock option, vesting of restricted stock units or exercise of warrants, the conversion</w:t>
      </w:r>
      <w:r>
        <w:rPr>
          <w:color w:val="000000"/>
        </w:rPr>
        <w:t xml:space="preserve"> </w:t>
      </w:r>
      <w:r>
        <w:rPr>
          <w:rFonts w:ascii="Times New Roman" w:hAnsi="Times New Roman"/>
          <w:color w:val="000000"/>
          <w:sz w:val="24"/>
        </w:rPr>
        <w:t xml:space="preserve">or vesting and settlement of a security outstanding on the Execution Date, provided that such options, restricted stock units, warrants, and securities, as the case may be, have not been amended since the date of this Agreement to increase the number of such securities or to decrease the exercise price, exchange price or conversion price of such securities or to extend the term of such securities, (iii) the issuance by the Company of shares of Common Stock (whether upon the exercise of stock options or otherwise) to employees, officers, directors, advisors or consultants of the Company pursuant to any equity compensation plan of the Company, provided that in each of (ii) and (iii) above, each recipient of Common Stock shall execute a Lock-Up Agreement substantially in the form of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 xml:space="preserve">hereto with respect to the remaining portion of the Lock-up Period, (iv) the filing by the Company of a registration statement on Form S-8 relating to the issuance, vesting, exercise or settlement of equity awards granted or to be granted pursuant to any employee benefit plan in effect on the Execution Date and described in the Pricing Prospectus, (v) the establishment of a trading plan on behalf of the Company or an officer or director of the Company pursuant to Rule 10b5-1 under the Exchange Act for the transfer of shares of Common Stock, provided that (1) such plan does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not provide for the transfer of Common Stock during the Lock-Up Period (except to the extent otherwise allowed pursuant to the terms of this Agreement) and (2)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Lock-Up Period, (vi) the sale or issuance of or entry into an agreement to sell or issue Common Stock or any securities convertible into or exercisable or exchangeable for Common Stock in connection with one or more mergers; acquisitions of securities, businesses, property or other assets, products or technologies; joint ventures; commercial relationships or other strategic corporate transactions or alliances; provided that the aggregate amount of Common Stock or any securities convertible into or exercisable or exchangeable for Common Stock (on an as-converted, as-exercised or as-exchanged basis) that the Company may sell or issue or agree to sell or issue pursuant to this clause (vi) shall not exceed ten percent (10%) of the total number of shares of Common Stock and Class B Common Stock together issued and outstanding immediately following the completion of the transactions contemplated by this Agreement determined on a fully-diluted basis and assuming the issuance of the Midwestern II Shares, or (vii) the issuance of shares of capital stock of the Company in connection with the closing of the Company’s pending acquisition of the remaining equity interests of Midwestern</w:t>
      </w:r>
      <w:r>
        <w:rPr>
          <w:color w:val="000000"/>
        </w:rPr>
        <w:t xml:space="preserve"> </w:t>
      </w:r>
      <w:r>
        <w:rPr>
          <w:rFonts w:ascii="Times New Roman" w:hAnsi="Times New Roman"/>
          <w:color w:val="000000"/>
          <w:sz w:val="24"/>
        </w:rPr>
        <w:t>Interactive, LLC, as disclosed in the Registration Statement (the “</w:t>
      </w:r>
      <w:r>
        <w:rPr>
          <w:rFonts w:ascii="Times New Roman" w:hAnsi="Times New Roman"/>
          <w:color w:val="000000"/>
          <w:sz w:val="24"/>
          <w:u w:val="single"/>
        </w:rPr>
        <w:t>Midwestern II Shares</w:t>
      </w:r>
      <w:r>
        <w:rPr>
          <w:color w:val="000000"/>
        </w:rPr>
        <w:t>”</w:t>
      </w:r>
      <w:r>
        <w:rPr>
          <w:rFonts w:ascii="Times New Roman" w:hAnsi="Times New Roman"/>
          <w:color w:val="000000"/>
          <w:sz w:val="24"/>
        </w:rPr>
        <w:t>) which, for the avoidance of doubt, shall not count toward the ten percent (10%) issuable under clause (vi) if the issuance occurs at least 30 days after the date of the Prospectus.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4.13</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[Reserved].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4.14</w:t>
      </w:r>
    </w:p>
    <w:p>
      <w:pPr>
        <w:pStyle w:val="TextBody"/>
        <w:bidi w:val="0"/>
        <w:spacing w:before="240" w:after="283"/>
        <w:jc w:val="both"/>
        <w:rPr/>
      </w:pPr>
      <w:r>
        <w:rPr>
          <w:rFonts w:ascii="Times New Roman" w:hAnsi="Times New Roman"/>
          <w:color w:val="000000"/>
          <w:sz w:val="24"/>
          <w:u w:val="single"/>
        </w:rPr>
        <w:t>Blue Sky Qualifications</w:t>
      </w:r>
      <w:r>
        <w:rPr>
          <w:rFonts w:ascii="Times New Roman" w:hAnsi="Times New Roman"/>
          <w:color w:val="000000"/>
          <w:sz w:val="24"/>
        </w:rPr>
        <w:t xml:space="preserve">. The Company shall use its best efforts, in cooperation with the Underwriters, if necessary, to qualify the Public Shares for offering and sale under the applicable securities laws of such states and other jurisdictions (domestic or foreign) as the Representatives may designate and to maintain such qualifications in effect so long as required to complete the distribution of the Public Shares;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4.15</w:t>
      </w:r>
    </w:p>
    <w:p>
      <w:pPr>
        <w:pStyle w:val="TextBody"/>
        <w:bidi w:val="0"/>
        <w:spacing w:before="240" w:after="283"/>
        <w:jc w:val="both"/>
        <w:rPr/>
      </w:pPr>
      <w:r>
        <w:rPr>
          <w:rFonts w:ascii="Times New Roman" w:hAnsi="Times New Roman"/>
          <w:color w:val="000000"/>
          <w:sz w:val="24"/>
          <w:u w:val="single"/>
        </w:rPr>
        <w:t>Reporting Requirements</w:t>
      </w:r>
      <w:r>
        <w:rPr>
          <w:rFonts w:ascii="Times New Roman" w:hAnsi="Times New Roman"/>
          <w:color w:val="000000"/>
          <w:sz w:val="24"/>
        </w:rPr>
        <w:t xml:space="preserve">. The Company, during the period when a prospectus relating to the Public Shares is (or, but for the exception afforded by Rule 172, would be) required to be delivered under the Securities Act, will use its reasonably best efforts to file all documents required to be filed with the Commission pursuant to the Exchange Act within the time periods required by the Exchange Act and Exchange Act Regulations. Additionally, the Company shall report the use of proceeds from the issuance of the Public Shares as may be required under Rule 463 under the Securities Act Regulations.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4.16</w:t>
      </w:r>
    </w:p>
    <w:p>
      <w:pPr>
        <w:pStyle w:val="TextBody"/>
        <w:bidi w:val="0"/>
        <w:spacing w:before="240" w:after="283"/>
        <w:jc w:val="both"/>
        <w:rPr/>
      </w:pPr>
      <w:r>
        <w:rPr>
          <w:rFonts w:ascii="Times New Roman" w:hAnsi="Times New Roman"/>
          <w:color w:val="000000"/>
          <w:sz w:val="24"/>
          <w:u w:val="single"/>
        </w:rPr>
        <w:t>Emerging Growth Company Status</w:t>
      </w:r>
      <w:r>
        <w:rPr>
          <w:rFonts w:ascii="Times New Roman" w:hAnsi="Times New Roman"/>
          <w:color w:val="000000"/>
          <w:sz w:val="24"/>
        </w:rPr>
        <w:t>. The Company shall promptly notify the Representatives if the Company ceases to be an Emerging Growth Company at any time prior to the later of (i) completion of the distribution of the Public Shares within the meaning of the Securities Act and (ii) the completion of the Lock-Up Period.</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4.17</w:t>
      </w:r>
    </w:p>
    <w:p>
      <w:pPr>
        <w:pStyle w:val="TextBody"/>
        <w:bidi w:val="0"/>
        <w:jc w:val="both"/>
        <w:rPr/>
      </w:pPr>
      <w:r>
        <w:rPr>
          <w:rFonts w:ascii="Times New Roman" w:hAnsi="Times New Roman"/>
          <w:color w:val="000000"/>
          <w:sz w:val="24"/>
          <w:u w:val="single"/>
        </w:rPr>
        <w:t>Research Independence</w:t>
      </w:r>
      <w:r>
        <w:rPr>
          <w:rFonts w:ascii="Times New Roman" w:hAnsi="Times New Roman"/>
          <w:color w:val="000000"/>
          <w:sz w:val="24"/>
        </w:rPr>
        <w:t>. The Company acknowledges that each Underwriter’s research analysts and research departments, if any, are required to be independent from their respective investment banking divisions and are subject to certain regulations and internal policies, and that such Underwriter’s research analysts may hold and make statements or investment recommendations and/or publish research reports with respect to the Company and/or the offering that differ from the views of its investment bankers. The Company hereby waives and releases, to the fullest extent permitted by law, any claims that the Company may have against such Underwriter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the Representatives are full service securities firms and as such from time to time, subject to applicable securities laws, may effect transactions for their own account or the account of their customers and hold long or short position in debt or equity securities of the Company.</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4.18</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pStyle w:val="TextBody"/>
        <w:bidi w:val="0"/>
        <w:jc w:val="center"/>
        <w:rPr>
          <w:rFonts w:ascii="Times New Roman" w:hAnsi="Times New Roman"/>
          <w:b/>
          <w:color w:val="000000"/>
          <w:sz w:val="24"/>
        </w:rPr>
      </w:pPr>
      <w:r>
        <w:rPr>
          <w:rFonts w:ascii="Times New Roman" w:hAnsi="Times New Roman"/>
          <w:b/>
          <w:color w:val="000000"/>
          <w:sz w:val="24"/>
        </w:rPr>
        <w:t>ARTICLE V.</w:t>
      </w:r>
    </w:p>
    <w:p>
      <w:pPr>
        <w:pStyle w:val="Heading1"/>
        <w:bidi w:val="0"/>
        <w:jc w:val="center"/>
        <w:rPr>
          <w:rFonts w:ascii="Times New Roman" w:hAnsi="Times New Roman"/>
          <w:color w:val="000000"/>
          <w:sz w:val="24"/>
        </w:rPr>
      </w:pPr>
      <w:r>
        <w:rPr>
          <w:rFonts w:ascii="Times New Roman" w:hAnsi="Times New Roman"/>
          <w:color w:val="000000"/>
          <w:sz w:val="24"/>
        </w:rPr>
        <w:t>DEFAULT BY UNDERWRITERS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both"/>
        <w:rPr>
          <w:rFonts w:ascii="Times New Roman" w:hAnsi="Times New Roman"/>
          <w:sz w:val="20"/>
        </w:rPr>
      </w:pPr>
      <w:r>
        <w:rPr>
          <w:rFonts w:ascii="Times New Roman" w:hAnsi="Times New Roman"/>
          <w:b w:val="false"/>
          <w:color w:val="000000"/>
          <w:sz w:val="24"/>
        </w:rPr>
        <w:t>If on the Closing Date or any Option Closing Date, as the case may be, any Underwriter shall fail or refuse to purchase and pay for the portion of the Closing Shares or Option Shares, as the case may be, which such Underwriter has agreed to purchase and pay for on such date (otherwise than by reason of any default on the part of the Company), the Representatives, or if the Representatives are the defaulting Underwriters, the non-defaulting Underwriters, shall use their reasonable efforts to procure within 36 hours thereafter one or more of the other Underwriters, or any others, to purchase from the Company such amounts as may be agreed upon and upon the terms set forth herein, the Closing Shares or Option Shares, as the case may be, which the defaulting Underwriter or Underwriters failed to purchase. If during such 36 hours the Representatives shall not have procured such other Underwriters, or any others, to purchase the Closing Shares or Option Shares, as the case may be, agreed to be purchased by the defaulting Underwriter or Underwriters, then (a) if the aggregate number of Closing Shares or Option Shares, as the case may be, with respect to which such default shall occur does not exceed 10% of the Closing Shares or Option Shares, as the case may be, covered hereby, the other Underwriters shall be obligated, severally, in proportion to the respective numbers of Closing Shares or Option Shares, as the case may be, which they are obligated to purchase hereunder, to purchase the Closing Shares or Option Shares, as the case may be, which such defaulting Underwriter or Underwriters failed to purchase, or (b) if the aggregate number of Closing Shares or Option Shares, as the case may be, with respect to which such default shall occur exceeds 10% of the Closing Shares or Option Shares, as the case may be, covered hereby, the Company or the Representatives will have the right to terminate this Agreement without liability on the part of the non-defaulting Underwriters or of the Company except to the extent provided in Article VI hereof, including, for the avoidance of doubt, any liability for the expenses set forth in Section 4.6 herein. In the event of a default by any Underwriter or Underwriters, as set forth in this Article V, the applicable Closing Date may be postponed for such period, not exceeding seven days, as the Representatives, or if the Representatives are the defaulting Underwriters, the non-defaulting Underwriters, may reasonably determine in order that the required changes in the Prospectus or in any other documents or arrangements may be effected. The term “Underwriter” includes any person substituted for a defaulting Underwriter. Any action taken under this Article V shall not relieve any defaulting Underwriter from liability in respect of any default of such Underwriter under this Agreement.</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ARTICLE VI.</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INDEMNIFICATION</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6.1</w:t>
      </w:r>
    </w:p>
    <w:p>
      <w:pPr>
        <w:pStyle w:val="TextBody"/>
        <w:bidi w:val="0"/>
        <w:jc w:val="both"/>
        <w:rPr/>
      </w:pPr>
      <w:r>
        <w:rPr>
          <w:rFonts w:ascii="Times New Roman" w:hAnsi="Times New Roman"/>
          <w:color w:val="000000"/>
          <w:sz w:val="24"/>
          <w:u w:val="single"/>
        </w:rPr>
        <w:t>Indemnification of the Underwriters</w:t>
      </w:r>
      <w:r>
        <w:rPr>
          <w:rFonts w:ascii="Times New Roman" w:hAnsi="Times New Roman"/>
          <w:color w:val="000000"/>
          <w:sz w:val="24"/>
        </w:rPr>
        <w:t>. Subject to the conditions set forth below, the Company agrees to indemnify and hold harmless the Underwriters, and each dealer selected by each Underwriter that participates in the offer and sale of the Public Shares (each a “</w:t>
      </w:r>
      <w:r>
        <w:rPr>
          <w:rFonts w:ascii="Times New Roman" w:hAnsi="Times New Roman"/>
          <w:color w:val="000000"/>
          <w:sz w:val="24"/>
          <w:u w:val="single"/>
        </w:rPr>
        <w:t>Selected Dealer</w:t>
      </w:r>
      <w:r>
        <w:rPr>
          <w:color w:val="000000"/>
        </w:rPr>
        <w:t>”</w:t>
      </w:r>
      <w:r>
        <w:rPr>
          <w:rFonts w:ascii="Times New Roman" w:hAnsi="Times New Roman"/>
          <w:color w:val="000000"/>
          <w:sz w:val="24"/>
        </w:rPr>
        <w:t>) and each of their respective directors, officers and employees and each Person, if any, who controls such Underwriter or any Selected Dealer (“</w:t>
      </w:r>
      <w:r>
        <w:rPr>
          <w:rFonts w:ascii="Times New Roman" w:hAnsi="Times New Roman"/>
          <w:color w:val="000000"/>
          <w:sz w:val="24"/>
          <w:u w:val="single"/>
        </w:rPr>
        <w:t>Controlling Person</w:t>
      </w:r>
      <w:r>
        <w:rPr>
          <w:color w:val="000000"/>
        </w:rPr>
        <w:t>”</w:t>
      </w:r>
      <w:r>
        <w:rPr>
          <w:rFonts w:ascii="Times New Roman" w:hAnsi="Times New Roman"/>
          <w:color w:val="000000"/>
          <w:sz w:val="24"/>
        </w:rPr>
        <w:t xml:space="preserve">) within the meaning of Section 15 of the Securities Act or Section 20 of the Exchange Act, against any and all loss, liability, claim, damage and expense whatsoever (including but not limited to any and all legal or other expenses reasonably incurred in investigating, preparing or defending against any Proceeding, whether arising out of any action between such Underwriter and the Company or between such Underwriter and any third party or otherwise) to which they or any of them may become subject under the Securities Act, the Exchange Act or any other statute or at common law or otherwise or under the laws of foreign countries, arising out of or based upon any untrue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4"/>
        </w:rPr>
        <w:t>statement or alleged untrue statement of a material fact contained in (i) any Preliminary Prospectus, if any, the Registration Statement, the Prospectus (as from time to time each may be amended and supplemented) or any Issuer Free Writing Prospectus; (ii) any materials or information provided to investors by, or with the approval of, the Company in connection with the marketing of the offering of the Public Shares, including any “road show” as defined in Rule 433(h)</w:t>
      </w:r>
      <w:r>
        <w:rPr>
          <w:color w:val="000000"/>
        </w:rPr>
        <w:t xml:space="preserve"> </w:t>
      </w:r>
      <w:r>
        <w:rPr>
          <w:rFonts w:ascii="Times New Roman" w:hAnsi="Times New Roman"/>
          <w:color w:val="000000"/>
          <w:sz w:val="24"/>
        </w:rPr>
        <w:t>under the Securities Act (a “road show”) or any Testing-the-Waters Communication; or (iii) any application or other document or written communication (in this Article VI, collectively called “</w:t>
      </w:r>
      <w:r>
        <w:rPr>
          <w:rFonts w:ascii="Times New Roman" w:hAnsi="Times New Roman"/>
          <w:color w:val="000000"/>
          <w:sz w:val="24"/>
          <w:u w:val="single"/>
        </w:rPr>
        <w:t>Application</w:t>
      </w:r>
      <w:r>
        <w:rPr>
          <w:color w:val="000000"/>
        </w:rPr>
        <w:t>”</w:t>
      </w:r>
      <w:r>
        <w:rPr>
          <w:rFonts w:ascii="Times New Roman" w:hAnsi="Times New Roman"/>
          <w:color w:val="000000"/>
          <w:sz w:val="24"/>
        </w:rPr>
        <w:t>) executed by the Company or based upon written information furnished by the Company in any jurisdiction in order to qualify the Public Shares under the securities laws thereof or filed with the Commission, any state securities commission or agency, Trading Market or any securities exchange; or the omission or alleged omission therefrom of a material fact required to be stated therein or necessary to make the statements therein, in light of the circumstances under which they were made, not misleading, unless such statement or omission was made in reliance upon and in conformity with the Underwriters’ Information. With respect to any untrue statement or omission or alleged untrue statement or omission made in the Preliminary Prospectus, if any, the indemnity agreement contained in this Section 6.1 shall not inure to the benefit of an Underwriter to the extent that any loss, liability, claim, damage or expense (including but not limited to any and all legal or other expenses reasonably incurred in investigating, preparing or defending against any Proceeding) of such Underwriter results from the fact that a copy of the Prospectus was not given or sent to the Person asserting any such loss, liability, claim, damage or expense at or prior to the written confirmation of sale of the Public Shares to such Person as required by the Securities Act and the rules and regulations thereunder, and if the untrue statement or omission has been corrected in the Prospectus, unless such failure to deliver the Prospectus was a result of non-compliance by the Company with its obligations under this Agreement. The Company agrees promptly to notify each Underwriter of the commencement of any Proceeding against the Company or any of its officers, directors or Controlling Persons in connection with the issue and sale of the Public Shares or in connection with the Registration Statement or any Issuer Free Writing Prospectus, road show, or the Prospectus.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6.2</w:t>
      </w:r>
    </w:p>
    <w:p>
      <w:pPr>
        <w:pStyle w:val="TextBody"/>
        <w:bidi w:val="0"/>
        <w:spacing w:before="240" w:after="283"/>
        <w:jc w:val="both"/>
        <w:rPr/>
      </w:pPr>
      <w:r>
        <w:rPr>
          <w:rFonts w:ascii="Times New Roman" w:hAnsi="Times New Roman"/>
          <w:color w:val="000000"/>
          <w:sz w:val="24"/>
          <w:u w:val="single"/>
        </w:rPr>
        <w:t>Procedure</w:t>
      </w:r>
      <w:r>
        <w:rPr>
          <w:rFonts w:ascii="Times New Roman" w:hAnsi="Times New Roman"/>
          <w:color w:val="000000"/>
          <w:sz w:val="24"/>
        </w:rPr>
        <w:t xml:space="preserve">. If any action is brought against an Underwriter, a Selected Dealer or a Controlling Person in respect of which indemnity may be sought against the Company pursuant to Section 6.1, such Underwriter, such Selected Dealer or Controlling Person, as the case may be, shall promptly notify the Company in writing of the institution of such action and the Company shall assume the defense of such action, including the employment and fees of counsel (subject to the reasonable approval of such Underwriter or such Selected Dealer, as the case may be) and payment of actual expenses. Such Underwriter, such Selected Dealer or Controlling Person shall have the right to employ its or their own counsel in any such case, but the fees and expenses of such counsel shall be at the expense of such Underwriter, such Selected Dealer or Controlling Person unless (i) the employment of such counsel at the expense of the Company shall have been authorized in writing by the Company in connection with the defense of such action, or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fees and expenses of not more than one additional firm of attorneys selected by such Underwriter (in addition to local counsel), Selected Dealer and/or Controlling Person shall be borne by the Company.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to the contrary contained herein, if any Underwriter, Selected Dealer or Controlling Person shall assume the defense of such action as provided above, the Company shall have the right to approve the terms of any settlement of such action which approval shall not be unreasonably withheld.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6.3</w:t>
      </w:r>
    </w:p>
    <w:p>
      <w:pPr>
        <w:pStyle w:val="TextBody"/>
        <w:bidi w:val="0"/>
        <w:spacing w:before="240" w:after="283"/>
        <w:jc w:val="both"/>
        <w:rPr/>
      </w:pPr>
      <w:r>
        <w:rPr>
          <w:rFonts w:ascii="Times New Roman" w:hAnsi="Times New Roman"/>
          <w:color w:val="000000"/>
          <w:sz w:val="24"/>
          <w:u w:val="single"/>
        </w:rPr>
        <w:t>Indemnification of the Company</w:t>
      </w:r>
      <w:r>
        <w:rPr>
          <w:rFonts w:ascii="Times New Roman" w:hAnsi="Times New Roman"/>
          <w:color w:val="000000"/>
          <w:sz w:val="24"/>
        </w:rPr>
        <w:t>. Each Underwriter severally and not jointly agrees to indemnify and hold harmless the Company, its directors, officers and employees and agents who control the Company within the meaning of Section 15 of the Securities Act or Section 20 of the Exchange Act against any and all loss, liability, claim, damage and expense (including but not limited to any and all legal or other expenses reasonably incurred in investigating, preparing or defending against any Proceeding, commenced or threatened in writing, or any claim whatsoever, whether caused by any action between such Underwriter and the Company or between the Company and any third party or otherwise) described in the foregoing indemnity from the Company to such Underwriter, as incurred, but only with respect to untrue statements or omissions, or alleged untrue statements or omissions made in any Preliminary Prospectus, if any, the Registration Statement any Issuer Free Writing Prospectus, road show, or the Prospectus or any amendment or supplement thereto or in any application, but only with reference to the Underwriters’ Information. In case any action shall be brought against the Company or any other Person so indemnified based on any Preliminary Prospectus, if any, the Registration Statement, any Issuer Free Writing Prospectus, road show or Prospectus or any amendment or supplement thereto or any application, and in respect of which indemnity may be sought against such Underwriter, such Underwriter shall have the rights and duties given to the Company, and the Company and each other Person so indemnified shall have the rights and duties given to such Underwriter by the provisions of this Article VI. Notwithstanding the provisions of this Section 6.3, no Underwriter shall be required to indemnify the Company for any amount in excess of the underwriting discounts and commissions applicable to the Public Shares purchased by such Underwriter. The Underwriters’ obligations in this Section 6.3 to indemnify the Company are several in proportion to their respective underwriting obligations and not joint.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w:t>
      </w:r>
    </w:p>
    <w:p>
      <w:pPr>
        <w:pStyle w:val="TextBody"/>
        <w:bidi w:val="0"/>
        <w:spacing w:before="240" w:after="283"/>
        <w:jc w:val="both"/>
        <w:rPr/>
      </w:pPr>
      <w:r>
        <w:rPr>
          <w:rFonts w:ascii="Times New Roman" w:hAnsi="Times New Roman"/>
          <w:color w:val="000000"/>
          <w:sz w:val="24"/>
          <w:u w:val="single"/>
        </w:rPr>
        <w:t>Contribution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Contribution Rights</w:t>
      </w:r>
      <w:r>
        <w:rPr>
          <w:rFonts w:ascii="Times New Roman" w:hAnsi="Times New Roman"/>
          <w:color w:val="000000"/>
          <w:sz w:val="24"/>
        </w:rPr>
        <w:t xml:space="preserve">. In order to provide for just and equitable contribution under the Securities Act in any case in which (i) any Person entitled to indemnification under this Article VI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Article VI provides for indemnification in such case, or (ii) contribution under the Securities Act, the Exchange Act or otherwise may be required on the part of any such Person in circumstances for which indemnification is provided under this Article VI, then, and in each such case, the Company and each Underwriter, severally and not jointly, shall contribute to the aggregate losses, liabilities, claims, damages and expenses of the nature contemplated by said indemnity agreement incurred by the Company and such Underwriter, as incurred, in such proportions that such Underwriter is responsible for that portion represented by the percentage that the underwriting discounts and commissions appearing on the cover page of the Prospectus bears to the offering price appearing thereon and the Company is responsible for the balance; provided, that, no Person guilty of a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fraudulent misrepresentation (within the meaning of Section 11(f) of the Securities Act) shall be entitled to contribution from any Person who was not guilty of such fraudulent misrepresentation. For purposes of this Section 6.4, each director, officer and employee of such Underwriter or the Company, as applicable, and each Person, if any, who controls such Underwriter or the Company, as applicable, within the meaning of Section 15 of the Securities Act shall have the same rights to contribution as such Underwriter or the Company, as applicable. Notwithstanding the provisions of this Section 6.4, no Underwriter shall be required to contribute any amount in excess of the underwriting discounts and commissions applicable to the Public Shares purchased by such Underwriter. The Underwriters’ obligations in this Section 6.4 to contribute are several in proportion to their respective underwriting obligations and not joint.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Contribution Procedure</w:t>
      </w:r>
      <w:r>
        <w:rPr>
          <w:rFonts w:ascii="Times New Roman" w:hAnsi="Times New Roman"/>
          <w:color w:val="000000"/>
          <w:sz w:val="24"/>
        </w:rPr>
        <w:t>. Within fifteen (15) days after receipt by any party to this Agreement (or its representative) of notice of the commencement of any action, suit or proceeding, such party will, if a claim for contribution in respect thereof is to be made against another party (“</w:t>
      </w:r>
      <w:r>
        <w:rPr>
          <w:rFonts w:ascii="Times New Roman" w:hAnsi="Times New Roman"/>
          <w:color w:val="000000"/>
          <w:sz w:val="24"/>
          <w:u w:val="single"/>
        </w:rPr>
        <w:t>Contributing Party</w:t>
      </w:r>
      <w:r>
        <w:rPr>
          <w:color w:val="000000"/>
        </w:rPr>
        <w:t>”</w:t>
      </w:r>
      <w:r>
        <w:rPr>
          <w:rFonts w:ascii="Times New Roman" w:hAnsi="Times New Roman"/>
          <w:color w:val="000000"/>
          <w:sz w:val="24"/>
        </w:rPr>
        <w:t>), notify the Contributing Party in writing of the commencement thereof, but the failure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seeking contribution without the written consent of such Contributing Party. The contribution provisions contained in this Section 6.4 are intended to supersede, to the extent permitted by law, any right to contribution under the Securities Act, the Exchange Act or otherwise available.</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VII.</w:t>
      </w:r>
    </w:p>
    <w:p>
      <w:pPr>
        <w:pStyle w:val="TextBody"/>
        <w:bidi w:val="0"/>
        <w:jc w:val="center"/>
        <w:rPr>
          <w:rFonts w:ascii="Times New Roman" w:hAnsi="Times New Roman"/>
          <w:b/>
          <w:color w:val="000000"/>
          <w:sz w:val="24"/>
        </w:rPr>
      </w:pPr>
      <w:r>
        <w:rPr>
          <w:rFonts w:ascii="Times New Roman" w:hAnsi="Times New Roman"/>
          <w:b/>
          <w:color w:val="000000"/>
          <w:sz w:val="24"/>
        </w:rPr>
        <w:t>MISCELLANEOUS</w:t>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w:t>
      </w:r>
    </w:p>
    <w:p>
      <w:pPr>
        <w:pStyle w:val="TextBody"/>
        <w:bidi w:val="0"/>
        <w:spacing w:before="0" w:after="240"/>
        <w:jc w:val="both"/>
        <w:rPr/>
      </w:pPr>
      <w:r>
        <w:rPr>
          <w:rFonts w:ascii="Times New Roman" w:hAnsi="Times New Roman"/>
          <w:color w:val="000000"/>
          <w:sz w:val="24"/>
          <w:u w:val="single"/>
        </w:rPr>
        <w:t>Termination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Termination Right</w:t>
      </w:r>
      <w:r>
        <w:rPr>
          <w:rFonts w:ascii="Times New Roman" w:hAnsi="Times New Roman"/>
          <w:color w:val="000000"/>
          <w:sz w:val="24"/>
        </w:rPr>
        <w:t xml:space="preserve">. The Representatives shall have the right to terminate this Agreement by notice in writing at any time after the execution and delivery of this Agreement and prior to any Closing Date, (i) if any domestic or international event or act or occurrence has materially disrupted, or in its opinion will in the immediate future materially disrupt, general securities markets in the United States; or (ii) if trading on any Trading Market (which, for the avoidance of doubt, shall not include secondary markets for privately held companies)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trading of any securities of the Company shall have been suspended on the Trading Market, or (iv) if the United States shall have become involved in a new war or an increase in major hostilities which, in the Representatives’ reasonable judgment, would make it impracticable to proceed with the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offering, sale and/or delivery of the Public Shares or to enforce contracts made by the Underwriters for the sale of the Public Shares, or (v) if a banking moratorium has been declared by a New York State or federal authority, or (vi) if a moratorium on foreign exchange trading has been declared which materially adversely impacts the United States securities markets, or (vii) 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Public Shares, (viii) if the Company is in material breach of any of its representations, warranties or covenants hereunder, or (ix) the occurrence of an event that constitutes a Material Adverse Effect, or (x) if the Representatives shall have become aware after the Execution Date of such a material adverse change in the conditions of the Company, or such adverse material change in general market conditions as in the Representatives’ reasonable judgment would make it impracticable to proceed with the offering, sale and/or delivery of the Public Shares or to enforce contracts made by the Underwriters for the sale of the Public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Expenses</w:t>
      </w:r>
      <w:r>
        <w:rPr>
          <w:rFonts w:ascii="Times New Roman" w:hAnsi="Times New Roman"/>
          <w:color w:val="000000"/>
          <w:sz w:val="24"/>
        </w:rPr>
        <w:t xml:space="preserve">. In the event this Agreement shall be terminated because of any failure or refusal on the part of the Company to comply with the terms or to fulfill the conditions of this Agreement, or if for any reason the Company shall be unable to perform its obligations under this Agreement as a result of the circumstances described in Section 7.1(a)(iii), within the time specified herein or any extensions thereof pursuant to the terms herein, the Company shall be obligated to pay to the Representatives its actual and accountable out of pocket expenses related to the transactions set forth in Section 4.6 hereto as if the Offering had been consummated; </w:t>
      </w:r>
      <w:r>
        <w:rPr>
          <w:rFonts w:ascii="Times New Roman" w:hAnsi="Times New Roman"/>
          <w:color w:val="000000"/>
          <w:sz w:val="24"/>
          <w:u w:val="single"/>
        </w:rPr>
        <w:t>provided</w:t>
      </w:r>
      <w:r>
        <w:rPr>
          <w:color w:val="000000"/>
        </w:rPr>
        <w:t xml:space="preserve"> </w:t>
      </w:r>
      <w:r>
        <w:rPr>
          <w:rFonts w:ascii="Times New Roman" w:hAnsi="Times New Roman"/>
          <w:color w:val="000000"/>
          <w:sz w:val="24"/>
          <w:u w:val="single"/>
        </w:rPr>
        <w:t>however</w:t>
      </w:r>
      <w:r>
        <w:rPr>
          <w:rFonts w:ascii="Times New Roman" w:hAnsi="Times New Roman"/>
          <w:color w:val="000000"/>
          <w:sz w:val="24"/>
        </w:rPr>
        <w:t xml:space="preserve">, that any expense cap set forth in Section 4.6 hereto in no way limits or impairs the indemnification and contribution provisions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Indemnification</w:t>
      </w:r>
      <w:r>
        <w:rPr>
          <w:rFonts w:ascii="Times New Roman" w:hAnsi="Times New Roman"/>
          <w:color w:val="000000"/>
          <w:sz w:val="24"/>
        </w:rPr>
        <w:t>. Notwithstanding any contrary provision contained in this Agreement, any election hereunder or any termination of this Agreement, and whether or not this Agreement is otherwise carried out, the provisions of Article VI shall not be in any way effected by such election or termination or failure to carry out the terms of this Agreement or any part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7.2</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xml:space="preserve">. This Agreement, together with the exhibits and schedules thereto and the Prospectus,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7.3</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Any and all notices or other communications or deliveries required or permitted to be provided hereunder shall be in writing and shall be deemed given and effective on the earliest of: (a) the date of transmission, if such notice or communication is delivered via e-mail attachment at the email address set forth on the signature pages attached hereto at or prior to 5:30 p.m. (New York City time) on a Trading Day, (b) the next Trading Day after the date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hAnsi="Times New Roman"/>
          <w:color w:val="000000"/>
          <w:sz w:val="16"/>
        </w:rPr>
        <w:t>nd</w:t>
      </w:r>
      <w:r>
        <w:rPr>
          <w:rFonts w:ascii="Times New Roman" w:hAnsi="Times New Roman"/>
          <w:color w:val="000000"/>
          <w:sz w:val="24"/>
        </w:rPr>
        <w:t xml:space="preserve">) Trading Day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7.4</w:t>
      </w:r>
    </w:p>
    <w:p>
      <w:pPr>
        <w:pStyle w:val="TextBody"/>
        <w:bidi w:val="0"/>
        <w:spacing w:before="0" w:after="240"/>
        <w:jc w:val="both"/>
        <w:rPr/>
      </w:pPr>
      <w:r>
        <w:rPr>
          <w:rFonts w:ascii="Times New Roman" w:hAnsi="Times New Roman"/>
          <w:color w:val="000000"/>
          <w:sz w:val="24"/>
          <w:u w:val="single"/>
        </w:rPr>
        <w:t>Amendments; Waivers</w:t>
      </w:r>
      <w:r>
        <w:rPr>
          <w:rFonts w:ascii="Times New Roman" w:hAnsi="Times New Roman"/>
          <w:color w:val="000000"/>
          <w:sz w:val="24"/>
        </w:rPr>
        <w:t>. No provision of this Agreement may be waived, modified, supplemented or amended except in a written instrument signed, in the case of an amendment, by the Company and the parties hereto.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7.5</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headings herein are for convenience only, do not constitute a part of this Agreement and shall not be deemed to limit or affect any of the provisions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7.6</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This Agreement shall be binding upon and inure to the benefit of the parties and their successors and permitted assigns. No purchaser of any of the Public Shares from any Underwriter shall be deemed a successor or assign by reason merely of such purchase.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7.7</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xml:space="preserve">. All questions concerning the construction, validity, enforcement and interpretation of this Agreement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(whether brought against a party hereto or its respective affiliates, directors, officers, stockholders,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this Agreement), and hereby irrevocably waives, and agrees not to assert in any action, suit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the Agreement, then, in addition to the obligations of the Company under Article VI, the prevailing party in such action, suit or proceeding shall be reimbursed by the other party for its reasonable attorneys’ fees and other costs and expenses incurred with the investigation, preparation and prosecution of such action or proceeding.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7.8</w:t>
      </w:r>
    </w:p>
    <w:p>
      <w:pPr>
        <w:pStyle w:val="TextBody"/>
        <w:bidi w:val="0"/>
        <w:spacing w:before="0" w:after="240"/>
        <w:jc w:val="both"/>
        <w:rPr/>
      </w:pPr>
      <w:r>
        <w:rPr>
          <w:rFonts w:ascii="Times New Roman" w:hAnsi="Times New Roman"/>
          <w:color w:val="000000"/>
          <w:sz w:val="24"/>
          <w:u w:val="single"/>
        </w:rPr>
        <w:t>Survival</w:t>
      </w:r>
      <w:r>
        <w:rPr>
          <w:rFonts w:ascii="Times New Roman" w:hAnsi="Times New Roman"/>
          <w:color w:val="000000"/>
          <w:sz w:val="24"/>
        </w:rPr>
        <w:t>. The representations and warranties contained herein shall survive the Closing and the Option Closing, if any, and the delivery of the Public Shares.</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7.9</w:t>
      </w:r>
    </w:p>
    <w:p>
      <w:pPr>
        <w:pStyle w:val="TextBody"/>
        <w:bidi w:val="0"/>
        <w:spacing w:before="0" w:after="240"/>
        <w:jc w:val="both"/>
        <w:rPr/>
      </w:pPr>
      <w:r>
        <w:rPr>
          <w:rFonts w:ascii="Times New Roman" w:hAnsi="Times New Roman"/>
          <w:color w:val="000000"/>
          <w:sz w:val="24"/>
          <w:u w:val="single"/>
        </w:rPr>
        <w:t>Execution</w:t>
      </w:r>
      <w:r>
        <w:rPr>
          <w:rFonts w:ascii="Times New Roman" w:hAnsi="Times New Roman"/>
          <w:color w:val="000000"/>
          <w:sz w:val="24"/>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7.10</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7.11</w:t>
      </w:r>
    </w:p>
    <w:p>
      <w:pPr>
        <w:pStyle w:val="TextBody"/>
        <w:bidi w:val="0"/>
        <w:spacing w:before="0" w:after="240"/>
        <w:jc w:val="both"/>
        <w:rPr/>
      </w:pPr>
      <w:r>
        <w:rPr>
          <w:rFonts w:ascii="Times New Roman" w:hAnsi="Times New Roman"/>
          <w:color w:val="000000"/>
          <w:sz w:val="24"/>
          <w:u w:val="single"/>
        </w:rPr>
        <w:t>Saturdays, Sundays, Holidays, etc</w:t>
      </w:r>
      <w:r>
        <w:rPr>
          <w:rFonts w:ascii="Times New Roman" w:hAnsi="Times New Roman"/>
          <w:color w:val="000000"/>
          <w:sz w:val="24"/>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7.12</w:t>
      </w:r>
    </w:p>
    <w:p>
      <w:pPr>
        <w:pStyle w:val="TextBody"/>
        <w:bidi w:val="0"/>
        <w:spacing w:before="0" w:after="240"/>
        <w:jc w:val="both"/>
        <w:rPr/>
      </w:pPr>
      <w:r>
        <w:rPr>
          <w:rFonts w:ascii="Times New Roman" w:hAnsi="Times New Roman"/>
          <w:color w:val="000000"/>
          <w:sz w:val="24"/>
          <w:u w:val="single"/>
        </w:rPr>
        <w:t>Construction</w:t>
      </w:r>
      <w:r>
        <w:rPr>
          <w:rFonts w:ascii="Times New Roman" w:hAnsi="Times New Roman"/>
          <w:color w:val="000000"/>
          <w:sz w:val="24"/>
        </w:rPr>
        <w:t>. The parties agree that each of them and/or their respective counsel have reviewed and had an opportunity to revise this Agreement and, therefore, the normal rule of construction to the effect that any ambiguities are to be resolved against the drafting party shall not be employed in the interpretation of this Agreement or any amendments thereto. In addition, each and every reference to share prices and shares of Common Stock in this Agreement shall be subject to adjustment for reverse and forward stock splits, stock dividends, stock combinations and other similar adjustments and transactions of the Common Stock that occur after the date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7.13</w:t>
      </w:r>
    </w:p>
    <w:p>
      <w:pPr>
        <w:pStyle w:val="TextBody"/>
        <w:bidi w:val="0"/>
        <w:spacing w:before="0" w:after="240"/>
        <w:jc w:val="both"/>
        <w:rPr/>
      </w:pPr>
      <w:r>
        <w:rPr>
          <w:rFonts w:ascii="Times New Roman" w:hAnsi="Times New Roman"/>
          <w:b/>
          <w:color w:val="000000"/>
          <w:sz w:val="24"/>
          <w:u w:val="single"/>
        </w:rPr>
        <w:t>WAIVER OF JURY TRIAL</w:t>
      </w:r>
      <w:r>
        <w:rPr>
          <w:rFonts w:ascii="Times New Roman" w:hAnsi="Times New Roman"/>
          <w:b/>
          <w:color w:val="000000"/>
          <w:sz w:val="24"/>
        </w:rPr>
        <w:t xml:space="preserve">. IN ANY ACTION, SUIT, OR PROCEEDING IN ANY JURISDICTION BROUGHT BY ANY PARTY AGAINST ANY OTHER PARTY ARISING OUT OF OR RELATING TO THIS AGREEMENT OR THE TRANSACTIONS CONTEMPLATED HEREBY, THE PARTIES EACH KNOWINGLY AND INTENTIONALLY, TO THE GREATEST EXTENT PERMITTED BY APPLICABLE LAW, HEREBY ABSOLUTELY, UNCONDITIONALLY, IRREVOCABLY AND EXPRESSLY WAIVE FOREVER ANY RIGHT TO TRIAL BY JURY. </w:t>
      </w:r>
    </w:p>
    <w:p>
      <w:pPr>
        <w:pStyle w:val="TextBody"/>
        <w:bidi w:val="0"/>
        <w:spacing w:before="0" w:after="240"/>
        <w:jc w:val="left"/>
        <w:rPr/>
      </w:pPr>
      <w:r>
        <w:rPr/>
        <w:t> </w:t>
      </w:r>
    </w:p>
    <w:p>
      <w:pPr>
        <w:pStyle w:val="Heading2"/>
        <w:bidi w:val="0"/>
        <w:spacing w:before="0" w:after="240"/>
        <w:jc w:val="center"/>
        <w:rPr>
          <w:rFonts w:ascii="Times New Roman" w:hAnsi="Times New Roman"/>
          <w:b w:val="false"/>
          <w:i/>
          <w:color w:val="000000"/>
          <w:sz w:val="24"/>
        </w:rPr>
      </w:pPr>
      <w:r>
        <w:rPr>
          <w:rFonts w:ascii="Times New Roman" w:hAnsi="Times New Roman"/>
          <w:b w:val="false"/>
          <w:i/>
          <w:color w:val="000000"/>
          <w:sz w:val="24"/>
        </w:rPr>
        <w:t>(Signature Pages Follow)</w:t>
      </w:r>
    </w:p>
    <w:p>
      <w:pPr>
        <w:pStyle w:val="TextBody"/>
        <w:bidi w:val="0"/>
        <w:spacing w:before="0" w:after="12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If the foregoing correctly sets forth the understanding between the Underwriters and the Company, please so indicate in the space provided below for that purpose, whereupon this letter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shall constitute a binding agreement among the Company and the several Underwriters in accordance with its terms.</w:t>
      </w:r>
    </w:p>
    <w:p>
      <w:pPr>
        <w:pStyle w:val="TextBody"/>
        <w:bidi w:val="0"/>
        <w:jc w:val="left"/>
        <w:rPr>
          <w:rFonts w:ascii="Times New Roman" w:hAnsi="Times New Roman"/>
          <w:color w:val="000000"/>
          <w:sz w:val="24"/>
        </w:rPr>
      </w:pPr>
      <w:r>
        <w:rPr>
          <w:rFonts w:ascii="Times New Roman" w:hAnsi="Times New Roman"/>
          <w:color w:val="000000"/>
          <w:sz w:val="24"/>
        </w:rPr>
        <w:t>Very truly yours,</w:t>
      </w:r>
    </w:p>
    <w:p>
      <w:pPr>
        <w:pStyle w:val="TextBody"/>
        <w:bidi w:val="0"/>
        <w:spacing w:before="240" w:after="283"/>
        <w:jc w:val="left"/>
        <w:rPr>
          <w:rFonts w:ascii="Times New Roman" w:hAnsi="Times New Roman"/>
          <w:sz w:val="20"/>
        </w:rPr>
      </w:pPr>
      <w:r>
        <w:rPr>
          <w:rFonts w:ascii="Times New Roman" w:hAnsi="Times New Roman"/>
          <w:b/>
          <w:color w:val="000000"/>
          <w:sz w:val="24"/>
        </w:rPr>
        <w:t>GLOO HOLDINGS, INC.</w:t>
      </w:r>
      <w:r>
        <w:rPr>
          <w:rFonts w:ascii="Times New Roman" w:hAnsi="Times New Roman"/>
          <w:color w:val="000000"/>
          <w:sz w:val="20"/>
        </w:rPr>
        <w:t xml:space="preserve"> </w:t>
      </w:r>
    </w:p>
    <w:p>
      <w:pPr>
        <w:pStyle w:val="TextBody"/>
        <w:bidi w:val="0"/>
        <w:spacing w:before="48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_________________________________________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br/>
        <w:t xml:space="preserve">Title: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Address for Notice: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831 Pearl Street</w:t>
      </w:r>
    </w:p>
    <w:p>
      <w:pPr>
        <w:pStyle w:val="TextBody"/>
        <w:bidi w:val="0"/>
        <w:jc w:val="left"/>
        <w:rPr>
          <w:rFonts w:ascii="Times New Roman" w:hAnsi="Times New Roman"/>
          <w:color w:val="000000"/>
          <w:sz w:val="24"/>
        </w:rPr>
      </w:pPr>
      <w:r>
        <w:rPr>
          <w:rFonts w:ascii="Times New Roman" w:hAnsi="Times New Roman"/>
          <w:color w:val="000000"/>
          <w:sz w:val="24"/>
        </w:rPr>
        <w:t>Boulder, CO 80302</w:t>
      </w:r>
    </w:p>
    <w:p>
      <w:pPr>
        <w:pStyle w:val="TextBody"/>
        <w:bidi w:val="0"/>
        <w:jc w:val="left"/>
        <w:rPr>
          <w:rFonts w:ascii="Times New Roman" w:hAnsi="Times New Roman"/>
          <w:color w:val="000000"/>
          <w:sz w:val="24"/>
        </w:rPr>
      </w:pPr>
      <w:r>
        <w:rPr>
          <w:rFonts w:ascii="Times New Roman" w:hAnsi="Times New Roman"/>
          <w:color w:val="000000"/>
          <w:sz w:val="24"/>
        </w:rPr>
        <w:t>Attention: Jeffrey Bojar, General Counsel and Secretary</w:t>
      </w:r>
    </w:p>
    <w:p>
      <w:pPr>
        <w:pStyle w:val="TextBody"/>
        <w:bidi w:val="0"/>
        <w:jc w:val="left"/>
        <w:rPr>
          <w:rFonts w:ascii="Times New Roman" w:hAnsi="Times New Roman"/>
          <w:color w:val="000000"/>
          <w:sz w:val="24"/>
        </w:rPr>
      </w:pPr>
      <w:r>
        <w:rPr>
          <w:rFonts w:ascii="Times New Roman" w:hAnsi="Times New Roman"/>
          <w:color w:val="000000"/>
          <w:sz w:val="24"/>
        </w:rPr>
        <w:t>Telephone: (303) 381-2645</w:t>
      </w:r>
    </w:p>
    <w:p>
      <w:pPr>
        <w:pStyle w:val="TextBody"/>
        <w:bidi w:val="0"/>
        <w:jc w:val="left"/>
        <w:rPr>
          <w:rFonts w:ascii="Times New Roman" w:hAnsi="Times New Roman"/>
          <w:color w:val="000000"/>
          <w:sz w:val="24"/>
        </w:rPr>
      </w:pPr>
      <w:r>
        <w:rPr>
          <w:rFonts w:ascii="Times New Roman" w:hAnsi="Times New Roman"/>
          <w:color w:val="000000"/>
          <w:sz w:val="24"/>
        </w:rPr>
        <w:t>Email: jbojar@gloo.us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Copy to:</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Wilson Sonsini Goodrich &amp; Rosati P.C.</w:t>
        <w:br/>
        <w:t>1155 Canyon Boulevard, Suite 400</w:t>
        <w:br/>
        <w:t>Boulder, CO 80302</w:t>
      </w:r>
    </w:p>
    <w:p>
      <w:pPr>
        <w:pStyle w:val="TextBody"/>
        <w:bidi w:val="0"/>
        <w:jc w:val="left"/>
        <w:rPr>
          <w:rFonts w:ascii="Times New Roman" w:hAnsi="Times New Roman"/>
          <w:color w:val="000000"/>
          <w:sz w:val="24"/>
        </w:rPr>
      </w:pPr>
      <w:r>
        <w:rPr>
          <w:rFonts w:ascii="Times New Roman" w:hAnsi="Times New Roman"/>
          <w:color w:val="000000"/>
          <w:sz w:val="24"/>
        </w:rPr>
        <w:t>Attention: Matthew P. Dubofsky, Esq.</w:t>
      </w:r>
    </w:p>
    <w:p>
      <w:pPr>
        <w:pStyle w:val="TextBody"/>
        <w:bidi w:val="0"/>
        <w:jc w:val="left"/>
        <w:rPr>
          <w:rFonts w:ascii="Times New Roman" w:hAnsi="Times New Roman"/>
          <w:color w:val="000000"/>
          <w:sz w:val="24"/>
        </w:rPr>
      </w:pPr>
      <w:r>
        <w:rPr>
          <w:rFonts w:ascii="Times New Roman" w:hAnsi="Times New Roman"/>
          <w:color w:val="000000"/>
          <w:sz w:val="24"/>
        </w:rPr>
        <w:t>Victor T. Nilsson, Esq.</w:t>
      </w:r>
    </w:p>
    <w:p>
      <w:pPr>
        <w:pStyle w:val="TextBody"/>
        <w:bidi w:val="0"/>
        <w:jc w:val="left"/>
        <w:rPr>
          <w:rFonts w:ascii="Times New Roman" w:hAnsi="Times New Roman"/>
          <w:color w:val="000000"/>
          <w:sz w:val="24"/>
        </w:rPr>
      </w:pPr>
      <w:r>
        <w:rPr>
          <w:rFonts w:ascii="Times New Roman" w:hAnsi="Times New Roman"/>
          <w:color w:val="000000"/>
          <w:sz w:val="24"/>
        </w:rPr>
        <w:t>Telephone: (303) 256-5913</w:t>
      </w:r>
    </w:p>
    <w:p>
      <w:pPr>
        <w:pStyle w:val="TextBody"/>
        <w:bidi w:val="0"/>
        <w:jc w:val="left"/>
        <w:rPr>
          <w:rFonts w:ascii="Times New Roman" w:hAnsi="Times New Roman"/>
          <w:color w:val="000000"/>
          <w:sz w:val="24"/>
        </w:rPr>
      </w:pPr>
      <w:r>
        <w:rPr>
          <w:rFonts w:ascii="Times New Roman" w:hAnsi="Times New Roman"/>
          <w:color w:val="000000"/>
          <w:sz w:val="24"/>
        </w:rPr>
        <w:t>Email: mdubofsky@wsgr.com</w:t>
      </w:r>
    </w:p>
    <w:p>
      <w:pPr>
        <w:pStyle w:val="TextBody"/>
        <w:bidi w:val="0"/>
        <w:jc w:val="left"/>
        <w:rPr>
          <w:rFonts w:ascii="Times New Roman" w:hAnsi="Times New Roman"/>
          <w:color w:val="000000"/>
          <w:sz w:val="24"/>
        </w:rPr>
      </w:pPr>
      <w:r>
        <w:rPr>
          <w:rFonts w:ascii="Times New Roman" w:hAnsi="Times New Roman"/>
          <w:color w:val="000000"/>
          <w:sz w:val="24"/>
        </w:rPr>
        <w:t>vnilsson@wsgr.com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Accepted on the date first above written.</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CITIZENS JMP SECURITIES, LLC</w:t>
      </w:r>
    </w:p>
    <w:p>
      <w:pPr>
        <w:pStyle w:val="TextBody"/>
        <w:bidi w:val="0"/>
        <w:jc w:val="left"/>
        <w:rPr>
          <w:rFonts w:ascii="Times New Roman" w:hAnsi="Times New Roman"/>
          <w:sz w:val="20"/>
        </w:rPr>
      </w:pPr>
      <w:r>
        <w:rPr>
          <w:rFonts w:ascii="Times New Roman" w:hAnsi="Times New Roman"/>
          <w:color w:val="000000"/>
          <w:sz w:val="24"/>
        </w:rPr>
        <w:t>For itself and as a Representative of the several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Underwriters listed on </w:t>
      </w:r>
      <w:r>
        <w:rPr>
          <w:rFonts w:ascii="Times New Roman" w:hAnsi="Times New Roman"/>
          <w:color w:val="000000"/>
          <w:sz w:val="24"/>
          <w:u w:val="single"/>
        </w:rPr>
        <w:t>Schedule I</w:t>
      </w:r>
    </w:p>
    <w:p>
      <w:pPr>
        <w:pStyle w:val="TextBody"/>
        <w:bidi w:val="0"/>
        <w:jc w:val="left"/>
        <w:rPr>
          <w:rFonts w:ascii="Times New Roman" w:hAnsi="Times New Roman"/>
          <w:color w:val="000000"/>
          <w:sz w:val="24"/>
        </w:rPr>
      </w:pPr>
      <w:r>
        <w:rPr>
          <w:rFonts w:ascii="Times New Roman" w:hAnsi="Times New Roman"/>
          <w:color w:val="000000"/>
          <w:sz w:val="24"/>
        </w:rPr>
        <w:t>By: Citizens JMP Securities, LLC</w:t>
      </w:r>
    </w:p>
    <w:p>
      <w:pPr>
        <w:pStyle w:val="TextBody"/>
        <w:bidi w:val="0"/>
        <w:spacing w:before="48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 Kevin McClelland</w:t>
      </w:r>
    </w:p>
    <w:p>
      <w:pPr>
        <w:pStyle w:val="TextBody"/>
        <w:bidi w:val="0"/>
        <w:jc w:val="left"/>
        <w:rPr>
          <w:rFonts w:ascii="Times New Roman" w:hAnsi="Times New Roman"/>
          <w:color w:val="000000"/>
          <w:sz w:val="24"/>
        </w:rPr>
      </w:pPr>
      <w:r>
        <w:rPr>
          <w:rFonts w:ascii="Times New Roman" w:hAnsi="Times New Roman"/>
          <w:color w:val="000000"/>
          <w:sz w:val="24"/>
        </w:rPr>
        <w:t>Title: Managing Director and Head of Technology Investment Banking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br/>
        <w:t>Address for Notice:</w:t>
      </w:r>
    </w:p>
    <w:p>
      <w:pPr>
        <w:pStyle w:val="TextBody"/>
        <w:bidi w:val="0"/>
        <w:jc w:val="left"/>
        <w:rPr>
          <w:rFonts w:ascii="Times New Roman" w:hAnsi="Times New Roman"/>
          <w:sz w:val="20"/>
        </w:rPr>
      </w:pPr>
      <w:r>
        <w:rPr>
          <w:rFonts w:ascii="Times New Roman" w:hAnsi="Times New Roman"/>
          <w:color w:val="000000"/>
          <w:sz w:val="24"/>
        </w:rPr>
        <w:t>1301 Avenue of the Americas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New York, NY 10019</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Telephone: (415) 835-8906</w:t>
      </w:r>
    </w:p>
    <w:p>
      <w:pPr>
        <w:pStyle w:val="TextBody"/>
        <w:bidi w:val="0"/>
        <w:jc w:val="both"/>
        <w:rPr>
          <w:rFonts w:ascii="Times New Roman" w:hAnsi="Times New Roman"/>
          <w:color w:val="000000"/>
          <w:sz w:val="24"/>
        </w:rPr>
      </w:pPr>
      <w:r>
        <w:rPr>
          <w:rFonts w:ascii="Times New Roman" w:hAnsi="Times New Roman"/>
          <w:color w:val="000000"/>
          <w:sz w:val="24"/>
        </w:rPr>
        <w:t>Email: dl-cjmpslegal@citizensbank.com</w:t>
      </w:r>
    </w:p>
    <w:p>
      <w:pPr>
        <w:pStyle w:val="TextBody"/>
        <w:bidi w:val="0"/>
        <w:jc w:val="both"/>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ROTH CAPITAL PARTNERS, LLC</w:t>
      </w:r>
    </w:p>
    <w:p>
      <w:pPr>
        <w:pStyle w:val="TextBody"/>
        <w:bidi w:val="0"/>
        <w:jc w:val="left"/>
        <w:rPr>
          <w:rFonts w:ascii="Times New Roman" w:hAnsi="Times New Roman"/>
          <w:sz w:val="20"/>
        </w:rPr>
      </w:pPr>
      <w:r>
        <w:rPr>
          <w:rFonts w:ascii="Times New Roman" w:hAnsi="Times New Roman"/>
          <w:color w:val="000000"/>
          <w:sz w:val="24"/>
        </w:rPr>
        <w:t>For itself and as a Representative of the several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Underwriters listed on </w:t>
      </w:r>
      <w:r>
        <w:rPr>
          <w:rFonts w:ascii="Times New Roman" w:hAnsi="Times New Roman"/>
          <w:color w:val="000000"/>
          <w:sz w:val="24"/>
          <w:u w:val="single"/>
        </w:rPr>
        <w:t>Schedule I</w:t>
      </w:r>
    </w:p>
    <w:p>
      <w:pPr>
        <w:pStyle w:val="TextBody"/>
        <w:bidi w:val="0"/>
        <w:jc w:val="left"/>
        <w:rPr>
          <w:rFonts w:ascii="Times New Roman" w:hAnsi="Times New Roman"/>
          <w:color w:val="000000"/>
          <w:sz w:val="24"/>
        </w:rPr>
      </w:pPr>
      <w:r>
        <w:rPr>
          <w:rFonts w:ascii="Times New Roman" w:hAnsi="Times New Roman"/>
          <w:color w:val="000000"/>
          <w:sz w:val="24"/>
        </w:rPr>
        <w:t>By: Roth Capital Partners, LLC</w:t>
      </w:r>
    </w:p>
    <w:p>
      <w:pPr>
        <w:pStyle w:val="TextBody"/>
        <w:bidi w:val="0"/>
        <w:spacing w:before="48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 Aaron M. Gurewitz</w:t>
      </w:r>
    </w:p>
    <w:p>
      <w:pPr>
        <w:pStyle w:val="TextBody"/>
        <w:bidi w:val="0"/>
        <w:jc w:val="left"/>
        <w:rPr>
          <w:rFonts w:ascii="Times New Roman" w:hAnsi="Times New Roman"/>
          <w:color w:val="000000"/>
          <w:sz w:val="24"/>
        </w:rPr>
      </w:pPr>
      <w:r>
        <w:rPr>
          <w:rFonts w:ascii="Times New Roman" w:hAnsi="Times New Roman"/>
          <w:color w:val="000000"/>
          <w:sz w:val="24"/>
        </w:rPr>
        <w:t>Title: Co-Chief Executive Officer and Head of Investment Banking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Address for Notice:</w:t>
      </w:r>
    </w:p>
    <w:p>
      <w:pPr>
        <w:pStyle w:val="TextBody"/>
        <w:bidi w:val="0"/>
        <w:jc w:val="left"/>
        <w:rPr>
          <w:rFonts w:ascii="Times New Roman" w:hAnsi="Times New Roman"/>
          <w:color w:val="000000"/>
          <w:sz w:val="24"/>
        </w:rPr>
      </w:pPr>
      <w:r>
        <w:rPr>
          <w:rFonts w:ascii="Times New Roman" w:hAnsi="Times New Roman"/>
          <w:color w:val="000000"/>
          <w:sz w:val="24"/>
        </w:rPr>
        <w:t>888 San Clemente Drive</w:t>
      </w:r>
    </w:p>
    <w:p>
      <w:pPr>
        <w:pStyle w:val="TextBody"/>
        <w:bidi w:val="0"/>
        <w:jc w:val="left"/>
        <w:rPr>
          <w:rFonts w:ascii="Times New Roman" w:hAnsi="Times New Roman"/>
          <w:color w:val="000000"/>
          <w:sz w:val="24"/>
        </w:rPr>
      </w:pPr>
      <w:r>
        <w:rPr>
          <w:rFonts w:ascii="Times New Roman" w:hAnsi="Times New Roman"/>
          <w:color w:val="000000"/>
          <w:sz w:val="24"/>
        </w:rPr>
        <w:t>Newport Beach, CA 92660</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Telephone: 949-720-5700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Email: rothecm@roth.com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Copy to:</w:t>
      </w:r>
    </w:p>
    <w:p>
      <w:pPr>
        <w:pStyle w:val="TextBody"/>
        <w:bidi w:val="0"/>
        <w:spacing w:before="0" w:after="240"/>
        <w:jc w:val="left"/>
        <w:rPr>
          <w:rFonts w:ascii="Times New Roman" w:hAnsi="Times New Roman"/>
          <w:sz w:val="20"/>
        </w:rPr>
      </w:pPr>
      <w:r>
        <w:rPr>
          <w:rFonts w:ascii="Times New Roman" w:hAnsi="Times New Roman"/>
          <w:color w:val="000000"/>
          <w:sz w:val="24"/>
        </w:rPr>
        <w:t>Reed Smith LLP</w:t>
        <w:br/>
        <w:t>1221 McKinney St # 2100</w:t>
        <w:br/>
        <w:t>Houston, Texas 77010</w:t>
        <w:br/>
        <w:t>Attention: Constantine Karides, Esq.,</w:t>
        <w:br/>
        <w:t>Anne G. Peetz, Esq.</w:t>
        <w:br/>
        <w:t>Telephone: (713) 469-3853</w:t>
        <w:br/>
        <w:t>Email: ckarides@reedsmith.com,</w:t>
        <w:br/>
        <w:t>apeetz@reedsmith.com</w:t>
        <w:br/>
      </w:r>
      <w:r>
        <w:rPr>
          <w:rFonts w:ascii="Times New Roman" w:hAnsi="Times New Roman"/>
          <w:color w:val="000000"/>
          <w:sz w:val="20"/>
        </w:rPr>
        <w:t>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center"/>
        <w:rPr>
          <w:rFonts w:ascii="Times New Roman" w:hAnsi="Times New Roman"/>
          <w:color w:val="000000"/>
          <w:sz w:val="24"/>
          <w:u w:val="single"/>
        </w:rPr>
      </w:pPr>
      <w:r>
        <w:rPr>
          <w:rFonts w:ascii="Times New Roman" w:hAnsi="Times New Roman"/>
          <w:color w:val="000000"/>
          <w:sz w:val="24"/>
          <w:u w:val="single"/>
        </w:rPr>
        <w:t>SCHEDULE I</w:t>
      </w:r>
    </w:p>
    <w:p>
      <w:pPr>
        <w:pStyle w:val="TextBody"/>
        <w:bidi w:val="0"/>
        <w:jc w:val="both"/>
        <w:rPr/>
      </w:pPr>
      <w:r>
        <w:rPr/>
        <w:t> </w:t>
      </w:r>
    </w:p>
    <w:p>
      <w:pPr>
        <w:pStyle w:val="TextBody"/>
        <w:bidi w:val="0"/>
        <w:jc w:val="center"/>
        <w:rPr>
          <w:rFonts w:ascii="Times New Roman" w:hAnsi="Times New Roman"/>
          <w:smallCaps/>
          <w:color w:val="000000"/>
          <w:sz w:val="24"/>
        </w:rPr>
      </w:pPr>
      <w:r>
        <w:rPr>
          <w:rFonts w:ascii="Times New Roman" w:hAnsi="Times New Roman"/>
          <w:smallCaps/>
          <w:color w:val="000000"/>
          <w:sz w:val="24"/>
        </w:rPr>
        <w:t>Schedule of Underwriters</w:t>
      </w:r>
    </w:p>
    <w:p>
      <w:pPr>
        <w:pStyle w:val="TextBody"/>
        <w:bidi w:val="0"/>
        <w:jc w:val="both"/>
        <w:rPr/>
      </w:pPr>
      <w:r>
        <w:rPr/>
        <w:t> </w:t>
      </w:r>
    </w:p>
    <w:p>
      <w:pPr>
        <w:pStyle w:val="TextBody"/>
        <w:bidi w:val="0"/>
        <w:jc w:val="both"/>
        <w:rPr/>
      </w:pPr>
      <w:r>
        <w:rPr/>
        <w:t> </w:t>
      </w:r>
    </w:p>
    <w:tbl>
      <w:tblPr>
        <w:tblW w:w="7098" w:type="dxa"/>
        <w:jc w:val="left"/>
        <w:tblInd w:w="0" w:type="dxa"/>
        <w:tblLayout w:type="fixed"/>
        <w:tblCellMar>
          <w:top w:w="28" w:type="dxa"/>
          <w:left w:w="28" w:type="dxa"/>
          <w:bottom w:w="28" w:type="dxa"/>
          <w:right w:w="28" w:type="dxa"/>
        </w:tblCellMar>
      </w:tblPr>
      <w:tblGrid>
        <w:gridCol w:w="3226"/>
        <w:gridCol w:w="1531"/>
        <w:gridCol w:w="2341"/>
      </w:tblGrid>
      <w:tr>
        <w:trPr/>
        <w:tc>
          <w:tcPr>
            <w:tcW w:w="322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32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Underwriters</w:t>
            </w:r>
          </w:p>
        </w:tc>
        <w:tc>
          <w:tcPr>
            <w:tcW w:w="15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Closing Shares</w:t>
            </w:r>
          </w:p>
        </w:tc>
        <w:tc>
          <w:tcPr>
            <w:tcW w:w="234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u w:val="single"/>
              </w:rPr>
            </w:pPr>
            <w:r>
              <w:rPr>
                <w:rFonts w:ascii="Times New Roman" w:hAnsi="Times New Roman"/>
                <w:color w:val="000000"/>
                <w:sz w:val="24"/>
                <w:u w:val="single"/>
              </w:rPr>
              <w:t>Closing Purchase Price</w:t>
            </w:r>
          </w:p>
        </w:tc>
      </w:tr>
      <w:tr>
        <w:trPr/>
        <w:tc>
          <w:tcPr>
            <w:tcW w:w="32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Citizens JMP Securities,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pPr>
            <w:r>
              <w:rPr/>
              <w:t> </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pPr>
            <w:r>
              <w:rPr/>
              <w:t> </w:t>
            </w:r>
          </w:p>
        </w:tc>
      </w:tr>
      <w:tr>
        <w:trPr/>
        <w:tc>
          <w:tcPr>
            <w:tcW w:w="32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Roth Capital Partners,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pPr>
            <w:r>
              <w:rPr/>
              <w:t> </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pPr>
            <w:r>
              <w:rPr/>
              <w:t> </w:t>
            </w:r>
          </w:p>
        </w:tc>
      </w:tr>
      <w:tr>
        <w:trPr/>
        <w:tc>
          <w:tcPr>
            <w:tcW w:w="32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The Benchmark Company,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pPr>
            <w:r>
              <w:rPr/>
              <w:t> </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pPr>
            <w:r>
              <w:rPr/>
              <w:t> </w:t>
            </w:r>
          </w:p>
        </w:tc>
      </w:tr>
      <w:tr>
        <w:trPr/>
        <w:tc>
          <w:tcPr>
            <w:tcW w:w="32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Loop Capital Markets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pPr>
            <w:r>
              <w:rPr/>
              <w:t> </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pPr>
            <w:r>
              <w:rPr/>
              <w:t> </w:t>
            </w:r>
          </w:p>
        </w:tc>
      </w:tr>
      <w:tr>
        <w:trPr/>
        <w:tc>
          <w:tcPr>
            <w:tcW w:w="32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Total</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pPr>
            <w:r>
              <w:rPr/>
              <w:t> </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4"/>
          <w:u w:val="single"/>
        </w:rPr>
        <w:t>SCHEDULE II-A</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center"/>
        <w:rPr>
          <w:rFonts w:ascii="Times New Roman" w:hAnsi="Times New Roman"/>
          <w:smallCaps/>
          <w:color w:val="000000"/>
          <w:sz w:val="24"/>
        </w:rPr>
      </w:pPr>
      <w:r>
        <w:rPr>
          <w:rFonts w:ascii="Times New Roman" w:hAnsi="Times New Roman"/>
          <w:smallCaps/>
          <w:color w:val="000000"/>
          <w:sz w:val="24"/>
        </w:rPr>
        <w:t>Pricing Information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Number of Closing Shares: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Number of Option Shares: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Public Offering Price per Closing Share and Option Share: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Underwriting Discount per Share: $[] for Closing Shares and Option Shares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II-B</w:t>
      </w:r>
    </w:p>
    <w:p>
      <w:pPr>
        <w:pStyle w:val="TextBody"/>
        <w:bidi w:val="0"/>
        <w:jc w:val="center"/>
        <w:rPr/>
      </w:pPr>
      <w:r>
        <w:rPr/>
        <w:t> </w:t>
      </w:r>
    </w:p>
    <w:p>
      <w:pPr>
        <w:pStyle w:val="TextBody"/>
        <w:bidi w:val="0"/>
        <w:spacing w:before="0" w:after="240"/>
        <w:jc w:val="center"/>
        <w:rPr>
          <w:rFonts w:ascii="Times New Roman" w:hAnsi="Times New Roman"/>
          <w:smallCaps/>
          <w:color w:val="000000"/>
          <w:sz w:val="24"/>
        </w:rPr>
      </w:pPr>
      <w:r>
        <w:rPr>
          <w:rFonts w:ascii="Times New Roman" w:hAnsi="Times New Roman"/>
          <w:smallCaps/>
          <w:color w:val="000000"/>
          <w:sz w:val="24"/>
        </w:rPr>
        <w:t>Issuer General Use Free Writing Prospectuses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None.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II-C</w:t>
      </w:r>
    </w:p>
    <w:p>
      <w:pPr>
        <w:pStyle w:val="TextBody"/>
        <w:bidi w:val="0"/>
        <w:jc w:val="center"/>
        <w:rPr/>
      </w:pPr>
      <w:r>
        <w:rPr/>
        <w:t> </w:t>
      </w:r>
    </w:p>
    <w:p>
      <w:pPr>
        <w:pStyle w:val="TextBody"/>
        <w:bidi w:val="0"/>
        <w:spacing w:before="0" w:after="240"/>
        <w:jc w:val="center"/>
        <w:rPr>
          <w:rFonts w:ascii="Times New Roman" w:hAnsi="Times New Roman"/>
          <w:smallCaps/>
          <w:color w:val="000000"/>
          <w:sz w:val="24"/>
        </w:rPr>
      </w:pPr>
      <w:r>
        <w:rPr>
          <w:rFonts w:ascii="Times New Roman" w:hAnsi="Times New Roman"/>
          <w:smallCaps/>
          <w:color w:val="000000"/>
          <w:sz w:val="24"/>
        </w:rPr>
        <w:t>Testing-the-Waters Communications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None.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4"/>
          <w:u w:val="single"/>
        </w:rPr>
        <w:t>SCHEDULE III</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spacing w:before="0" w:after="240"/>
        <w:jc w:val="center"/>
        <w:rPr>
          <w:rFonts w:ascii="Times New Roman" w:hAnsi="Times New Roman"/>
          <w:smallCaps/>
          <w:color w:val="000000"/>
          <w:sz w:val="24"/>
        </w:rPr>
      </w:pPr>
      <w:r>
        <w:rPr>
          <w:rFonts w:ascii="Times New Roman" w:hAnsi="Times New Roman"/>
          <w:smallCaps/>
          <w:color w:val="000000"/>
          <w:sz w:val="24"/>
        </w:rPr>
        <w:t>Lock-Up Parties</w:t>
      </w:r>
    </w:p>
    <w:p>
      <w:pPr>
        <w:pStyle w:val="TextBody"/>
        <w:bidi w:val="0"/>
        <w:jc w:val="left"/>
        <w:rPr>
          <w:rFonts w:ascii="Times New Roman" w:hAnsi="Times New Roman"/>
          <w:color w:val="000000"/>
          <w:sz w:val="24"/>
        </w:rPr>
      </w:pPr>
      <w:r>
        <w:rPr>
          <w:rFonts w:ascii="Times New Roman" w:hAnsi="Times New Roman"/>
          <w:color w:val="000000"/>
          <w:sz w:val="24"/>
        </w:rPr>
        <w:t>Scott Beck</w:t>
      </w:r>
    </w:p>
    <w:p>
      <w:pPr>
        <w:pStyle w:val="TextBody"/>
        <w:bidi w:val="0"/>
        <w:jc w:val="left"/>
        <w:rPr>
          <w:rFonts w:ascii="Times New Roman" w:hAnsi="Times New Roman"/>
          <w:color w:val="000000"/>
          <w:sz w:val="24"/>
        </w:rPr>
      </w:pPr>
      <w:r>
        <w:rPr>
          <w:rFonts w:ascii="Times New Roman" w:hAnsi="Times New Roman"/>
          <w:color w:val="000000"/>
          <w:sz w:val="24"/>
        </w:rPr>
        <w:t>Patrick Gelsinger</w:t>
      </w:r>
    </w:p>
    <w:p>
      <w:pPr>
        <w:pStyle w:val="TextBody"/>
        <w:bidi w:val="0"/>
        <w:jc w:val="left"/>
        <w:rPr>
          <w:rFonts w:ascii="Times New Roman" w:hAnsi="Times New Roman"/>
          <w:color w:val="000000"/>
          <w:sz w:val="24"/>
        </w:rPr>
      </w:pPr>
      <w:r>
        <w:rPr>
          <w:rFonts w:ascii="Times New Roman" w:hAnsi="Times New Roman"/>
          <w:color w:val="000000"/>
          <w:sz w:val="24"/>
        </w:rPr>
        <w:t>Paul Seamon</w:t>
      </w:r>
    </w:p>
    <w:p>
      <w:pPr>
        <w:pStyle w:val="TextBody"/>
        <w:bidi w:val="0"/>
        <w:jc w:val="left"/>
        <w:rPr>
          <w:rFonts w:ascii="Times New Roman" w:hAnsi="Times New Roman"/>
          <w:color w:val="000000"/>
          <w:sz w:val="24"/>
        </w:rPr>
      </w:pPr>
      <w:r>
        <w:rPr>
          <w:rFonts w:ascii="Times New Roman" w:hAnsi="Times New Roman"/>
          <w:color w:val="000000"/>
          <w:sz w:val="24"/>
        </w:rPr>
        <w:t>Matthew Gotschall</w:t>
      </w:r>
    </w:p>
    <w:p>
      <w:pPr>
        <w:pStyle w:val="TextBody"/>
        <w:bidi w:val="0"/>
        <w:jc w:val="left"/>
        <w:rPr>
          <w:rFonts w:ascii="Times New Roman" w:hAnsi="Times New Roman"/>
          <w:color w:val="000000"/>
          <w:sz w:val="24"/>
        </w:rPr>
      </w:pPr>
      <w:r>
        <w:rPr>
          <w:rFonts w:ascii="Times New Roman" w:hAnsi="Times New Roman"/>
          <w:color w:val="000000"/>
          <w:sz w:val="24"/>
        </w:rPr>
        <w:t>Bishop Claude Richard Alexander, Jr.</w:t>
      </w:r>
    </w:p>
    <w:p>
      <w:pPr>
        <w:pStyle w:val="TextBody"/>
        <w:bidi w:val="0"/>
        <w:jc w:val="left"/>
        <w:rPr>
          <w:rFonts w:ascii="Times New Roman" w:hAnsi="Times New Roman"/>
          <w:color w:val="000000"/>
          <w:sz w:val="24"/>
        </w:rPr>
      </w:pPr>
      <w:r>
        <w:rPr>
          <w:rFonts w:ascii="Times New Roman" w:hAnsi="Times New Roman"/>
          <w:color w:val="000000"/>
          <w:sz w:val="24"/>
        </w:rPr>
        <w:t>John (Jack) Furst</w:t>
      </w:r>
    </w:p>
    <w:p>
      <w:pPr>
        <w:pStyle w:val="TextBody"/>
        <w:bidi w:val="0"/>
        <w:jc w:val="left"/>
        <w:rPr>
          <w:rFonts w:ascii="Times New Roman" w:hAnsi="Times New Roman"/>
          <w:color w:val="000000"/>
          <w:sz w:val="24"/>
        </w:rPr>
      </w:pPr>
      <w:r>
        <w:rPr>
          <w:rFonts w:ascii="Times New Roman" w:hAnsi="Times New Roman"/>
          <w:color w:val="000000"/>
          <w:sz w:val="24"/>
        </w:rPr>
        <w:t>Derek Green</w:t>
      </w:r>
    </w:p>
    <w:p>
      <w:pPr>
        <w:pStyle w:val="TextBody"/>
        <w:bidi w:val="0"/>
        <w:jc w:val="left"/>
        <w:rPr>
          <w:rFonts w:ascii="Times New Roman" w:hAnsi="Times New Roman"/>
          <w:color w:val="000000"/>
          <w:sz w:val="24"/>
        </w:rPr>
      </w:pPr>
      <w:r>
        <w:rPr>
          <w:rFonts w:ascii="Times New Roman" w:hAnsi="Times New Roman"/>
          <w:color w:val="000000"/>
          <w:sz w:val="24"/>
        </w:rPr>
        <w:t>Elizabeth Grennan</w:t>
      </w:r>
    </w:p>
    <w:p>
      <w:pPr>
        <w:pStyle w:val="TextBody"/>
        <w:bidi w:val="0"/>
        <w:jc w:val="left"/>
        <w:rPr>
          <w:rFonts w:ascii="Times New Roman" w:hAnsi="Times New Roman"/>
          <w:color w:val="000000"/>
          <w:sz w:val="24"/>
        </w:rPr>
      </w:pPr>
      <w:r>
        <w:rPr>
          <w:rFonts w:ascii="Times New Roman" w:hAnsi="Times New Roman"/>
          <w:color w:val="000000"/>
          <w:sz w:val="24"/>
        </w:rPr>
        <w:t>Robert Gruenewald</w:t>
      </w:r>
    </w:p>
    <w:p>
      <w:pPr>
        <w:pStyle w:val="TextBody"/>
        <w:bidi w:val="0"/>
        <w:jc w:val="left"/>
        <w:rPr>
          <w:rFonts w:ascii="Times New Roman" w:hAnsi="Times New Roman"/>
          <w:color w:val="000000"/>
          <w:sz w:val="24"/>
        </w:rPr>
      </w:pPr>
      <w:r>
        <w:rPr>
          <w:rFonts w:ascii="Times New Roman" w:hAnsi="Times New Roman"/>
          <w:color w:val="000000"/>
          <w:sz w:val="24"/>
        </w:rPr>
        <w:t>Nona Jones</w:t>
      </w:r>
    </w:p>
    <w:p>
      <w:pPr>
        <w:pStyle w:val="TextBody"/>
        <w:bidi w:val="0"/>
        <w:jc w:val="left"/>
        <w:rPr>
          <w:rFonts w:ascii="Times New Roman" w:hAnsi="Times New Roman"/>
          <w:color w:val="000000"/>
          <w:sz w:val="24"/>
        </w:rPr>
      </w:pPr>
      <w:r>
        <w:rPr>
          <w:rFonts w:ascii="Times New Roman" w:hAnsi="Times New Roman"/>
          <w:color w:val="000000"/>
          <w:sz w:val="24"/>
        </w:rPr>
        <w:t>Pearl Street Trust</w:t>
      </w:r>
    </w:p>
    <w:p>
      <w:pPr>
        <w:pStyle w:val="TextBody"/>
        <w:bidi w:val="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center"/>
        <w:rPr/>
      </w:pPr>
      <w:r>
        <w:rPr/>
        <w:t> </w:t>
      </w:r>
    </w:p>
    <w:p>
      <w:pPr>
        <w:pStyle w:val="TextBody"/>
        <w:bidi w:val="0"/>
        <w:spacing w:before="0" w:after="240"/>
        <w:jc w:val="center"/>
        <w:rPr>
          <w:rFonts w:ascii="Times New Roman" w:hAnsi="Times New Roman"/>
          <w:smallCaps/>
          <w:color w:val="000000"/>
          <w:sz w:val="24"/>
        </w:rPr>
      </w:pPr>
      <w:r>
        <w:rPr>
          <w:rFonts w:ascii="Times New Roman" w:hAnsi="Times New Roman"/>
          <w:smallCaps/>
          <w:color w:val="000000"/>
          <w:sz w:val="24"/>
        </w:rPr>
        <w:t>Form of Lock-Up Agreement</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LOCK-UP AGREEMENT</w:t>
      </w:r>
    </w:p>
    <w:p>
      <w:pPr>
        <w:pStyle w:val="TextBody"/>
        <w:bidi w:val="0"/>
        <w:jc w:val="center"/>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______________, 2026</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Citizens JMP Securities, LLC</w:t>
      </w:r>
    </w:p>
    <w:p>
      <w:pPr>
        <w:pStyle w:val="TextBody"/>
        <w:bidi w:val="0"/>
        <w:jc w:val="left"/>
        <w:rPr>
          <w:rFonts w:ascii="Times New Roman" w:hAnsi="Times New Roman"/>
          <w:color w:val="000000"/>
          <w:sz w:val="22"/>
        </w:rPr>
      </w:pPr>
      <w:r>
        <w:rPr>
          <w:rFonts w:ascii="Times New Roman" w:hAnsi="Times New Roman"/>
          <w:color w:val="000000"/>
          <w:sz w:val="22"/>
        </w:rPr>
        <w:t>Roth Capital Partners, LLC</w:t>
        <w:br/>
        <w:t>As Representatives of the several underwriters, if any,</w:t>
      </w:r>
    </w:p>
    <w:p>
      <w:pPr>
        <w:pStyle w:val="TextBody"/>
        <w:bidi w:val="0"/>
        <w:jc w:val="left"/>
        <w:rPr>
          <w:rFonts w:ascii="Times New Roman" w:hAnsi="Times New Roman"/>
          <w:sz w:val="20"/>
        </w:rPr>
      </w:pPr>
      <w:r>
        <w:rPr>
          <w:rFonts w:ascii="Times New Roman" w:hAnsi="Times New Roman"/>
          <w:color w:val="000000"/>
          <w:sz w:val="22"/>
        </w:rPr>
        <w:t xml:space="preserve">named in </w:t>
      </w:r>
      <w:r>
        <w:rPr>
          <w:rFonts w:ascii="Times New Roman" w:hAnsi="Times New Roman"/>
          <w:color w:val="000000"/>
          <w:sz w:val="22"/>
          <w:u w:val="single"/>
        </w:rPr>
        <w:t>Schedule I</w:t>
      </w:r>
      <w:r>
        <w:rPr>
          <w:rFonts w:ascii="Times New Roman" w:hAnsi="Times New Roman"/>
          <w:color w:val="000000"/>
          <w:sz w:val="20"/>
        </w:rPr>
        <w:t xml:space="preserve"> </w:t>
      </w:r>
      <w:r>
        <w:rPr>
          <w:rFonts w:ascii="Times New Roman" w:hAnsi="Times New Roman"/>
          <w:color w:val="000000"/>
          <w:sz w:val="22"/>
        </w:rPr>
        <w:t xml:space="preserve">to the Underwriting Agreement </w:t>
        <w:br/>
        <w:t>referred to below</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c/o Citizens JMP Securities, LLC</w:t>
      </w:r>
    </w:p>
    <w:p>
      <w:pPr>
        <w:pStyle w:val="TextBody"/>
        <w:bidi w:val="0"/>
        <w:jc w:val="left"/>
        <w:rPr>
          <w:rFonts w:ascii="Times New Roman" w:hAnsi="Times New Roman"/>
          <w:color w:val="000000"/>
          <w:sz w:val="22"/>
        </w:rPr>
      </w:pPr>
      <w:r>
        <w:rPr>
          <w:rFonts w:ascii="Times New Roman" w:hAnsi="Times New Roman"/>
          <w:color w:val="000000"/>
          <w:sz w:val="22"/>
        </w:rPr>
        <w:t>1301 Avenue of the Americas</w:t>
      </w:r>
    </w:p>
    <w:p>
      <w:pPr>
        <w:pStyle w:val="TextBody"/>
        <w:bidi w:val="0"/>
        <w:jc w:val="left"/>
        <w:rPr>
          <w:rFonts w:ascii="Times New Roman" w:hAnsi="Times New Roman"/>
          <w:color w:val="000000"/>
          <w:sz w:val="22"/>
        </w:rPr>
      </w:pPr>
      <w:r>
        <w:rPr>
          <w:rFonts w:ascii="Times New Roman" w:hAnsi="Times New Roman"/>
          <w:color w:val="000000"/>
          <w:sz w:val="22"/>
        </w:rPr>
        <w:t>New York, NY 10019</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c/o Roth Capital Partners, LLC</w:t>
      </w:r>
    </w:p>
    <w:p>
      <w:pPr>
        <w:pStyle w:val="TextBody"/>
        <w:bidi w:val="0"/>
        <w:jc w:val="left"/>
        <w:rPr>
          <w:rFonts w:ascii="Times New Roman" w:hAnsi="Times New Roman"/>
          <w:color w:val="000000"/>
          <w:sz w:val="22"/>
        </w:rPr>
      </w:pPr>
      <w:r>
        <w:rPr>
          <w:rFonts w:ascii="Times New Roman" w:hAnsi="Times New Roman"/>
          <w:color w:val="000000"/>
          <w:sz w:val="22"/>
        </w:rPr>
        <w:t>888 San Clemente Drive</w:t>
      </w:r>
    </w:p>
    <w:p>
      <w:pPr>
        <w:pStyle w:val="TextBody"/>
        <w:bidi w:val="0"/>
        <w:jc w:val="left"/>
        <w:rPr>
          <w:rFonts w:ascii="Times New Roman" w:hAnsi="Times New Roman"/>
          <w:color w:val="000000"/>
          <w:sz w:val="22"/>
        </w:rPr>
      </w:pPr>
      <w:r>
        <w:rPr>
          <w:rFonts w:ascii="Times New Roman" w:hAnsi="Times New Roman"/>
          <w:color w:val="000000"/>
          <w:sz w:val="22"/>
        </w:rPr>
        <w:t>Newport Beach, CA 92660</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Re: Gloo Holdings, Inc.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Ladies and Gentlemen:</w:t>
      </w:r>
    </w:p>
    <w:p>
      <w:pPr>
        <w:pStyle w:val="TextBody"/>
        <w:bidi w:val="0"/>
        <w:spacing w:before="0" w:after="240"/>
        <w:jc w:val="both"/>
        <w:rPr>
          <w:rFonts w:ascii="Times New Roman" w:hAnsi="Times New Roman"/>
          <w:sz w:val="20"/>
        </w:rPr>
      </w:pPr>
      <w:r>
        <w:rPr>
          <w:rFonts w:ascii="Times New Roman" w:hAnsi="Times New Roman"/>
          <w:color w:val="000000"/>
          <w:sz w:val="22"/>
        </w:rPr>
        <w:t>The undersigned is an owner of record or beneficially of certain shares of the Company’s shares of Class A common stock, par value $0.001 per share (the “</w:t>
      </w:r>
      <w:r>
        <w:rPr>
          <w:rFonts w:ascii="Times New Roman" w:hAnsi="Times New Roman"/>
          <w:b/>
          <w:color w:val="000000"/>
          <w:sz w:val="22"/>
        </w:rPr>
        <w:t>Class A Common Stock</w:t>
      </w:r>
      <w:r>
        <w:rPr>
          <w:rFonts w:ascii="Times New Roman" w:hAnsi="Times New Roman"/>
          <w:color w:val="000000"/>
          <w:sz w:val="20"/>
        </w:rPr>
        <w:t>”</w:t>
      </w:r>
      <w:r>
        <w:rPr>
          <w:rFonts w:ascii="Times New Roman" w:hAnsi="Times New Roman"/>
          <w:color w:val="000000"/>
          <w:sz w:val="22"/>
        </w:rPr>
        <w:t>), Class B common stock, par value $0.001 per share (“</w:t>
      </w:r>
      <w:r>
        <w:rPr>
          <w:rFonts w:ascii="Times New Roman" w:hAnsi="Times New Roman"/>
          <w:b/>
          <w:color w:val="000000"/>
          <w:sz w:val="22"/>
        </w:rPr>
        <w:t>Class B Common Stock</w:t>
      </w:r>
      <w:r>
        <w:rPr>
          <w:rFonts w:ascii="Times New Roman" w:hAnsi="Times New Roman"/>
          <w:color w:val="000000"/>
          <w:sz w:val="20"/>
        </w:rPr>
        <w:t xml:space="preserve">” </w:t>
      </w:r>
      <w:r>
        <w:rPr>
          <w:rFonts w:ascii="Times New Roman" w:hAnsi="Times New Roman"/>
          <w:color w:val="000000"/>
          <w:sz w:val="22"/>
        </w:rPr>
        <w:t>and, together with the Class A Common Stock, the “</w:t>
      </w:r>
      <w:r>
        <w:rPr>
          <w:rFonts w:ascii="Times New Roman" w:hAnsi="Times New Roman"/>
          <w:b/>
          <w:color w:val="000000"/>
          <w:sz w:val="22"/>
        </w:rPr>
        <w:t>Common Stock</w:t>
      </w:r>
      <w:r>
        <w:rPr>
          <w:rFonts w:ascii="Times New Roman" w:hAnsi="Times New Roman"/>
          <w:color w:val="000000"/>
          <w:sz w:val="20"/>
        </w:rPr>
        <w:t>”</w:t>
      </w:r>
      <w:r>
        <w:rPr>
          <w:rFonts w:ascii="Times New Roman" w:hAnsi="Times New Roman"/>
          <w:color w:val="000000"/>
          <w:sz w:val="22"/>
        </w:rPr>
        <w:t>), or securities convertible into, exchangeable for or exercisable for Common Stock (the “</w:t>
      </w:r>
      <w:r>
        <w:rPr>
          <w:rFonts w:ascii="Times New Roman" w:hAnsi="Times New Roman"/>
          <w:b/>
          <w:color w:val="000000"/>
          <w:sz w:val="22"/>
        </w:rPr>
        <w:t>Securities</w:t>
      </w:r>
      <w:r>
        <w:rPr>
          <w:rFonts w:ascii="Times New Roman" w:hAnsi="Times New Roman"/>
          <w:color w:val="000000"/>
          <w:sz w:val="20"/>
        </w:rPr>
        <w:t>”</w:t>
      </w:r>
      <w:r>
        <w:rPr>
          <w:rFonts w:ascii="Times New Roman" w:hAnsi="Times New Roman"/>
          <w:color w:val="000000"/>
          <w:sz w:val="22"/>
        </w:rPr>
        <w:t>). The Company proposes to enter into an underwriting agreement (the “</w:t>
      </w:r>
      <w:r>
        <w:rPr>
          <w:rFonts w:ascii="Times New Roman" w:hAnsi="Times New Roman"/>
          <w:b/>
          <w:color w:val="000000"/>
          <w:sz w:val="22"/>
        </w:rPr>
        <w:t>Underwriting Agreement</w:t>
      </w:r>
      <w:r>
        <w:rPr>
          <w:rFonts w:ascii="Times New Roman" w:hAnsi="Times New Roman"/>
          <w:color w:val="000000"/>
          <w:sz w:val="20"/>
        </w:rPr>
        <w:t>”</w:t>
      </w:r>
      <w:r>
        <w:rPr>
          <w:rFonts w:ascii="Times New Roman" w:hAnsi="Times New Roman"/>
          <w:color w:val="000000"/>
          <w:sz w:val="22"/>
        </w:rPr>
        <w:t>) with you as the representatives (the “</w:t>
      </w:r>
      <w:r>
        <w:rPr>
          <w:rFonts w:ascii="Times New Roman" w:hAnsi="Times New Roman"/>
          <w:b/>
          <w:color w:val="000000"/>
          <w:sz w:val="22"/>
        </w:rPr>
        <w:t>Representatives</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of the underwriters (the “</w:t>
      </w:r>
      <w:r>
        <w:rPr>
          <w:rFonts w:ascii="Times New Roman" w:hAnsi="Times New Roman"/>
          <w:b/>
          <w:color w:val="000000"/>
          <w:sz w:val="22"/>
        </w:rPr>
        <w:t>Underwriters</w:t>
      </w:r>
      <w:r>
        <w:rPr>
          <w:rFonts w:ascii="Times New Roman" w:hAnsi="Times New Roman"/>
          <w:color w:val="000000"/>
          <w:sz w:val="20"/>
        </w:rPr>
        <w:t>”</w:t>
      </w:r>
      <w:r>
        <w:rPr>
          <w:rFonts w:ascii="Times New Roman" w:hAnsi="Times New Roman"/>
          <w:color w:val="000000"/>
          <w:sz w:val="22"/>
        </w:rPr>
        <w:t>) with respect to a public offering of the Class A Common Stock (the “</w:t>
      </w:r>
      <w:r>
        <w:rPr>
          <w:rFonts w:ascii="Times New Roman" w:hAnsi="Times New Roman"/>
          <w:b/>
          <w:color w:val="000000"/>
          <w:sz w:val="22"/>
        </w:rPr>
        <w:t>Offering</w:t>
      </w:r>
      <w:r>
        <w:rPr>
          <w:rFonts w:ascii="Times New Roman" w:hAnsi="Times New Roman"/>
          <w:color w:val="000000"/>
          <w:sz w:val="20"/>
        </w:rPr>
        <w:t>”</w:t>
      </w:r>
      <w:r>
        <w:rPr>
          <w:rFonts w:ascii="Times New Roman" w:hAnsi="Times New Roman"/>
          <w:color w:val="000000"/>
          <w:sz w:val="22"/>
        </w:rPr>
        <w:t>). The undersigned acknowledges that the Offering will be of benefit to the undersigned. The undersigned also acknowledges that you and each other Underwriter will rely on the representations and agreements of the undersigned contained in this letter agreement (the “</w:t>
      </w:r>
      <w:r>
        <w:rPr>
          <w:rFonts w:ascii="Times New Roman" w:hAnsi="Times New Roman"/>
          <w:b/>
          <w:color w:val="000000"/>
          <w:sz w:val="22"/>
        </w:rPr>
        <w:t>Lock-Up Agreement</w:t>
      </w:r>
      <w:r>
        <w:rPr>
          <w:rFonts w:ascii="Times New Roman" w:hAnsi="Times New Roman"/>
          <w:color w:val="000000"/>
          <w:sz w:val="20"/>
        </w:rPr>
        <w:t>”</w:t>
      </w:r>
      <w:r>
        <w:rPr>
          <w:rFonts w:ascii="Times New Roman" w:hAnsi="Times New Roman"/>
          <w:color w:val="000000"/>
          <w:sz w:val="22"/>
        </w:rPr>
        <w:t>) in connection with entering into the Underwriting Agreement and performing their obligations thereunder.</w:t>
      </w:r>
    </w:p>
    <w:p>
      <w:pPr>
        <w:pStyle w:val="TextBody"/>
        <w:bidi w:val="0"/>
        <w:spacing w:before="0" w:after="240"/>
        <w:jc w:val="both"/>
        <w:rPr>
          <w:rFonts w:ascii="Times New Roman" w:hAnsi="Times New Roman"/>
          <w:sz w:val="20"/>
        </w:rPr>
      </w:pPr>
      <w:r>
        <w:rPr>
          <w:rFonts w:ascii="Times New Roman" w:hAnsi="Times New Roman"/>
          <w:color w:val="000000"/>
          <w:sz w:val="22"/>
        </w:rPr>
        <w:t>In consideration of the foregoing and as an inducement to you as underwriters, the undersigned hereby agrees that the undersigned will not, without your prior written consent (which consent may be withheld in your discretion), directly or indirectly, sell, offer to sell, contract to sell, or grant any option for the sale (including without limitation any short sale), grant any security interest in, pledge, hypothecate, hedge, establish an open “put equivalent position” within the meaning of Rule 16a-1(h) under the Securities Exchange Act of 1934, as amended, and the rules and regulations promulgated thereunder (collectively, the “</w:t>
      </w:r>
      <w:r>
        <w:rPr>
          <w:rFonts w:ascii="Times New Roman" w:hAnsi="Times New Roman"/>
          <w:b/>
          <w:color w:val="000000"/>
          <w:sz w:val="22"/>
        </w:rPr>
        <w:t>Exchange Act</w:t>
      </w:r>
      <w:r>
        <w:rPr>
          <w:rFonts w:ascii="Times New Roman" w:hAnsi="Times New Roman"/>
          <w:color w:val="000000"/>
          <w:sz w:val="20"/>
        </w:rPr>
        <w:t>”</w:t>
      </w:r>
      <w:r>
        <w:rPr>
          <w:rFonts w:ascii="Times New Roman" w:hAnsi="Times New Roman"/>
          <w:color w:val="000000"/>
          <w:sz w:val="22"/>
        </w:rPr>
        <w:t>) or otherwise dispose of or enter into any transaction which is designed to, or could reasonably be expected to, result in the disposition (whether by actual disposition or effective economic disposition due to cash settlement or otherwise by the Company or any affiliate of the Company or any person in privity with the Company or any affiliate of the Company) (collectively, a “</w:t>
      </w:r>
      <w:r>
        <w:rPr>
          <w:rFonts w:ascii="Times New Roman" w:hAnsi="Times New Roman"/>
          <w:b/>
          <w:color w:val="000000"/>
          <w:sz w:val="22"/>
        </w:rPr>
        <w:t>Disposition</w:t>
      </w:r>
      <w:r>
        <w:rPr>
          <w:rFonts w:ascii="Times New Roman" w:hAnsi="Times New Roman"/>
          <w:color w:val="000000"/>
          <w:sz w:val="20"/>
        </w:rPr>
        <w:t>”</w:t>
      </w:r>
      <w:r>
        <w:rPr>
          <w:rFonts w:ascii="Times New Roman" w:hAnsi="Times New Roman"/>
          <w:color w:val="000000"/>
          <w:sz w:val="22"/>
        </w:rPr>
        <w:t>) of any Securities currently or hereafter owned either of record or beneficially (as defined in Rule 13d-3 under the Exchange Act) by the undersigned, or publicly announce the undersigned’s intention to do any of the foregoing, for a period commencing on the date hereof and continuing through the close of trading on the date that is 90 days following the date of the final prospectus (the “</w:t>
      </w:r>
      <w:r>
        <w:rPr>
          <w:rFonts w:ascii="Times New Roman" w:hAnsi="Times New Roman"/>
          <w:b/>
          <w:color w:val="000000"/>
          <w:sz w:val="22"/>
        </w:rPr>
        <w:t>Prospectus</w:t>
      </w:r>
      <w:r>
        <w:rPr>
          <w:rFonts w:ascii="Times New Roman" w:hAnsi="Times New Roman"/>
          <w:color w:val="000000"/>
          <w:sz w:val="20"/>
        </w:rPr>
        <w:t>”</w:t>
      </w:r>
      <w:r>
        <w:rPr>
          <w:rFonts w:ascii="Times New Roman" w:hAnsi="Times New Roman"/>
          <w:color w:val="000000"/>
          <w:sz w:val="22"/>
        </w:rPr>
        <w:t>) for the Offering (the “</w:t>
      </w:r>
      <w:r>
        <w:rPr>
          <w:rFonts w:ascii="Times New Roman" w:hAnsi="Times New Roman"/>
          <w:b/>
          <w:color w:val="000000"/>
          <w:sz w:val="22"/>
        </w:rPr>
        <w:t>Lock-Up Period</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and subject to the conditions herein, the restrictions in the second paragraph of this Lock-Up Agreement shall not apply 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 xml:space="preserve">transfers of shares of Class A Common Stock acquired in the Offering or in open market transactions after the completion of the Offering; </w:t>
      </w:r>
      <w:r>
        <w:rPr>
          <w:rFonts w:ascii="Times New Roman" w:hAnsi="Times New Roman"/>
          <w:i/>
          <w:color w:val="000000"/>
          <w:sz w:val="22"/>
        </w:rPr>
        <w:t>provided</w:t>
      </w:r>
      <w:r>
        <w:rPr>
          <w:color w:val="000000"/>
        </w:rPr>
        <w:t xml:space="preserve"> </w:t>
      </w:r>
      <w:r>
        <w:rPr>
          <w:rFonts w:ascii="Times New Roman" w:hAnsi="Times New Roman"/>
          <w:color w:val="000000"/>
          <w:sz w:val="22"/>
        </w:rPr>
        <w:t>that no filing under Section 16(a) of the Exchange Act shall be required or voluntarily made during the Lock-Up Period in connection with subsequent sales of Class A Common Stock acquired in the Offering or in such open market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transfers as a bona fide gift or charitable contribution (including any pledge or similar commitment to donate the undersigned’s Securities and/or proceeds from the sale of the undersigned’s Securities to be applied in their entirety as a gift or charitable contribution);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rPr>
        <w:t>transfers to any immediate family member or to any trust for the direct or indirect benefit of the undersigned and/or any immediate family of the undersigned (for purposes of this Lock-Up Agreement, “</w:t>
      </w:r>
      <w:r>
        <w:rPr>
          <w:rFonts w:ascii="Times New Roman" w:hAnsi="Times New Roman"/>
          <w:b/>
          <w:color w:val="000000"/>
          <w:sz w:val="22"/>
        </w:rPr>
        <w:t>immediate family</w:t>
      </w:r>
      <w:r>
        <w:rPr>
          <w:color w:val="000000"/>
        </w:rPr>
        <w:t xml:space="preserve">” </w:t>
      </w:r>
      <w:r>
        <w:rPr>
          <w:rFonts w:ascii="Times New Roman" w:hAnsi="Times New Roman"/>
          <w:color w:val="000000"/>
          <w:sz w:val="22"/>
        </w:rPr>
        <w:t>shall mean any relationship by blood, marriage, domestic partnership or adoption, not more remote than first cousin);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transfers to any corporation, partnership, limited liability company or other business entity all of the equity holders of which consist of the undersigned and/or the immediate family of the undersigned;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undersigned is a corporation, partnership, limited liability company, trust or other business entity, distributions, transfers or dispositions (a) to another corporation, partnership, limited liability company, trust or other business entity that is an affiliate of the undersigned (as defined in Rule 405 promulgated under the Securities Act of 1933, as amended), or (b) in the form of a distribution, transfer or disposition to limited partners, limited liability company members, stockholders, affiliates, subsidiaries, beneficiaries or holders of equity interests of the undersigned;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undersigned is a trust, transfers to the trustor or beneficiary of such trust or to the estate of any beneficiary of such trust;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transfers for bona fide estate planning purposes, upon death or by will, other testamentary document or intestate succession to the legal representative, heir, beneficiary or a member of the immediate family of the undersigned;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w:t>
      </w:r>
    </w:p>
    <w:p>
      <w:pPr>
        <w:pStyle w:val="TextBody"/>
        <w:bidi w:val="0"/>
        <w:spacing w:before="0" w:after="240"/>
        <w:jc w:val="both"/>
        <w:rPr/>
      </w:pPr>
      <w:r>
        <w:rPr>
          <w:rFonts w:ascii="Times New Roman" w:hAnsi="Times New Roman"/>
          <w:color w:val="000000"/>
          <w:sz w:val="22"/>
        </w:rPr>
        <w:t>transfers of Securities to the Company for the purpose of exercising or settling (including any transfer for the payment of tax withholdings or remittance payments, including estimated taxes, due as a result of such vesting, settlement or exercise of such options, restricted stock units or other rights) on a “net exercise” or “cashless” basis options, restricted stock units or other rights to purchase shares of Common Stock, pursuant to equity awards granted under an equity incentive plan or other equity award arrangement described in the Prospectus, including the documents and exhibits incorporated by reference therein (each a “</w:t>
      </w:r>
      <w:r>
        <w:rPr>
          <w:rFonts w:ascii="Times New Roman" w:hAnsi="Times New Roman"/>
          <w:b/>
          <w:color w:val="000000"/>
          <w:sz w:val="22"/>
        </w:rPr>
        <w:t>Plan</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collectively, the “</w:t>
      </w:r>
      <w:r>
        <w:rPr>
          <w:rFonts w:ascii="Times New Roman" w:hAnsi="Times New Roman"/>
          <w:b/>
          <w:color w:val="000000"/>
          <w:sz w:val="22"/>
        </w:rPr>
        <w:t>Plans</w:t>
      </w:r>
      <w:r>
        <w:rPr>
          <w:color w:val="000000"/>
        </w:rPr>
        <w:t>”</w:t>
      </w:r>
      <w:r>
        <w:rPr>
          <w:rFonts w:ascii="Times New Roman" w:hAnsi="Times New Roman"/>
          <w:color w:val="000000"/>
          <w:sz w:val="22"/>
        </w:rPr>
        <w:t xml:space="preserve">), or warrants described in the Prospectus (including the documents and exhibits incorporated by reference therein), in each case, to the extent permitted by the instruments representing such equity awards or warrants, and only in an amount necessary to cover the applicable exercise price or tax withholding obligations, including estimated taxes, of the undersigned in connection with the vesting, settlement or exercise so long as the “net exercise” or “cashless exercise” is effected solely by the surrender of outstanding equity awards or warrants (or the Common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2"/>
        </w:rPr>
        <w:t xml:space="preserve">Stock issuable upon the exercise thereof) to the Company and the Company’s cancellation of all or a portion thereof to pay the exercise price and/or withholding tax and remittance obligations; </w:t>
      </w:r>
      <w:r>
        <w:rPr>
          <w:rFonts w:ascii="Times New Roman" w:hAnsi="Times New Roman"/>
          <w:i/>
          <w:color w:val="000000"/>
          <w:sz w:val="22"/>
        </w:rPr>
        <w:t>provided</w:t>
      </w:r>
      <w:r>
        <w:rPr>
          <w:color w:val="000000"/>
        </w:rPr>
        <w:t xml:space="preserve"> </w:t>
      </w:r>
      <w:r>
        <w:rPr>
          <w:rFonts w:ascii="Times New Roman" w:hAnsi="Times New Roman"/>
          <w:color w:val="000000"/>
          <w:sz w:val="22"/>
        </w:rPr>
        <w:t>that any shares of Common Stock received as a result of such exercise, vesting or settlement shall remain subject to the terms of this Lock-Up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transfers to a nominee or custodian to whom a disposition or transfer would be permissible under clauses (ii) through (vii);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transfers by operation of law pursuant to a qualified domestic order or other court order or in connection with a divorce decree, divorce settlement, separation agreement or other court order or order of a regulatory agency;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w:t>
      </w:r>
    </w:p>
    <w:p>
      <w:pPr>
        <w:pStyle w:val="TextBody"/>
        <w:bidi w:val="0"/>
        <w:spacing w:before="0" w:after="240"/>
        <w:jc w:val="both"/>
        <w:rPr/>
      </w:pPr>
      <w:r>
        <w:rPr>
          <w:rFonts w:ascii="Times New Roman" w:hAnsi="Times New Roman"/>
          <w:color w:val="000000"/>
          <w:sz w:val="22"/>
        </w:rPr>
        <w:t xml:space="preserve">transfers, sales, tenders or other dispositions of shares of Common Stock or Securities pursuant to a bona fide third party tender offer, merger, amalgamation, consolidation or other similar transaction that is approved by the Board of Directors of the Company and made to all holders of the Company’s capital stock or involving a Change of Control (as defined below); </w:t>
      </w:r>
      <w:r>
        <w:rPr>
          <w:rFonts w:ascii="Times New Roman" w:hAnsi="Times New Roman"/>
          <w:i/>
          <w:color w:val="000000"/>
          <w:sz w:val="22"/>
        </w:rPr>
        <w:t>provided</w:t>
      </w:r>
      <w:r>
        <w:rPr>
          <w:color w:val="000000"/>
        </w:rPr>
        <w:t xml:space="preserve"> </w:t>
      </w:r>
      <w:r>
        <w:rPr>
          <w:rFonts w:ascii="Times New Roman" w:hAnsi="Times New Roman"/>
          <w:color w:val="000000"/>
          <w:sz w:val="22"/>
        </w:rPr>
        <w:t>that if such tender offer, merger, amalgamation, consolidation or other similar transaction is not completed, any shares of Common Stock or Securities subject to this Lock-Up Agreement shall remain subject to the restrictions contained herein (for purposes of this clause (xi), “</w:t>
      </w:r>
      <w:r>
        <w:rPr>
          <w:rFonts w:ascii="Times New Roman" w:hAnsi="Times New Roman"/>
          <w:b/>
          <w:color w:val="000000"/>
          <w:sz w:val="22"/>
        </w:rPr>
        <w:t>Change of Control</w:t>
      </w:r>
      <w:r>
        <w:rPr>
          <w:color w:val="000000"/>
        </w:rPr>
        <w:t xml:space="preserve">” </w:t>
      </w:r>
      <w:r>
        <w:rPr>
          <w:rFonts w:ascii="Times New Roman" w:hAnsi="Times New Roman"/>
          <w:color w:val="000000"/>
          <w:sz w:val="22"/>
        </w:rPr>
        <w:t>shall mean the transfer (whether by tender offer, merger, consolidation or other similar transaction), in one transaction or a series of related transactions, to a person or group of affiliated persons (other than the Underwriters pursuant to the Offering), of Securities if, after such transfer, the stockholders of the Company immediately prior to such transfer do not own at least a majority of the outstanding voting securities of the Company (or the surviving entity, as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w:t>
      </w:r>
    </w:p>
    <w:p>
      <w:pPr>
        <w:pStyle w:val="TextBody"/>
        <w:bidi w:val="0"/>
        <w:spacing w:before="0" w:after="240"/>
        <w:jc w:val="both"/>
        <w:rPr/>
      </w:pPr>
      <w:r>
        <w:rPr>
          <w:rFonts w:ascii="Times New Roman" w:hAnsi="Times New Roman"/>
          <w:color w:val="000000"/>
          <w:sz w:val="22"/>
        </w:rPr>
        <w:t>the establishment or modification of a trading plan pursuant to Rule 10b5-1 under the Exchange Act for the transfer of Securities (a “</w:t>
      </w:r>
      <w:r>
        <w:rPr>
          <w:rFonts w:ascii="Times New Roman" w:hAnsi="Times New Roman"/>
          <w:b/>
          <w:color w:val="000000"/>
          <w:sz w:val="22"/>
        </w:rPr>
        <w:t>10b5-1 Plan</w:t>
      </w:r>
      <w:r>
        <w:rPr>
          <w:color w:val="000000"/>
        </w:rPr>
        <w:t>”</w:t>
      </w:r>
      <w:r>
        <w:rPr>
          <w:rFonts w:ascii="Times New Roman" w:hAnsi="Times New Roman"/>
          <w:color w:val="000000"/>
          <w:sz w:val="22"/>
        </w:rPr>
        <w:t xml:space="preserve">); </w:t>
      </w:r>
      <w:r>
        <w:rPr>
          <w:rFonts w:ascii="Times New Roman" w:hAnsi="Times New Roman"/>
          <w:i/>
          <w:color w:val="000000"/>
          <w:sz w:val="22"/>
        </w:rPr>
        <w:t>provided</w:t>
      </w:r>
      <w:r>
        <w:rPr>
          <w:color w:val="000000"/>
        </w:rPr>
        <w:t xml:space="preserve"> </w:t>
      </w:r>
      <w:r>
        <w:rPr>
          <w:rFonts w:ascii="Times New Roman" w:hAnsi="Times New Roman"/>
          <w:color w:val="000000"/>
          <w:sz w:val="22"/>
        </w:rPr>
        <w:t>that (a) such 10b5-1 Plan does not provide for the transfer of Securities during the Lock-Up Period (except as otherwise allowed pursuant to this Lock-Up Agreement) and (b) to the extent a public announcement or filing under the Exchange Act, if any, is required of or voluntarily made by or on behalf of the undersigned or the Company regarding the establishment or modification of such 10b5-1 Plan during the Lock-Up Period, such announcement or filing shall include a statement to the effect that no transfer of Securities may be made under such 10b5-1 Plan during the Lock-Up Period (except as otherwise allowed pursuant to this Lock-Up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(xiii)</w:t>
      </w:r>
    </w:p>
    <w:p>
      <w:pPr>
        <w:pStyle w:val="TextBody"/>
        <w:bidi w:val="0"/>
        <w:spacing w:before="0" w:after="240"/>
        <w:jc w:val="both"/>
        <w:rPr/>
      </w:pPr>
      <w:r>
        <w:rPr>
          <w:rFonts w:ascii="Times New Roman" w:hAnsi="Times New Roman"/>
          <w:color w:val="000000"/>
          <w:sz w:val="22"/>
        </w:rPr>
        <w:t xml:space="preserve">transfers, conversions, reclassifications, redemptions or exchanges of the undersigned’s Securities in connection with the Offering and any other reclassification or conversion of Common Stock, </w:t>
      </w:r>
      <w:r>
        <w:rPr>
          <w:rFonts w:ascii="Times New Roman" w:hAnsi="Times New Roman"/>
          <w:i/>
          <w:color w:val="000000"/>
          <w:sz w:val="22"/>
        </w:rPr>
        <w:t>provided</w:t>
      </w:r>
      <w:r>
        <w:rPr>
          <w:color w:val="000000"/>
        </w:rPr>
        <w:t xml:space="preserve"> </w:t>
      </w:r>
      <w:r>
        <w:rPr>
          <w:rFonts w:ascii="Times New Roman" w:hAnsi="Times New Roman"/>
          <w:color w:val="000000"/>
          <w:sz w:val="22"/>
        </w:rPr>
        <w:t>that any such shares of Common Stock received upon such conversion or reclassification shall be subject to the terms of this Lock-Up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transfers of Securities to the Company pursuant to arrangements under which the Company has the option or obligation to repurchase, reclassify, redeem, convert or exchange such Securities or a right of first refusal with respect to such Securities;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transfers as permitted with the prior written consent of the Representatives;</w:t>
      </w:r>
    </w:p>
    <w:p>
      <w:pPr>
        <w:pStyle w:val="TextBody"/>
        <w:bidi w:val="0"/>
        <w:spacing w:before="0" w:after="240"/>
        <w:jc w:val="both"/>
        <w:rPr>
          <w:rFonts w:ascii="Times New Roman" w:hAnsi="Times New Roman"/>
          <w:sz w:val="20"/>
        </w:rPr>
      </w:pP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(a) in the case of any transfer pursuant to clauses (ii)-(vii), and (ix)-(x) each donee, distributee, transferee or acquirer shall sign and deliver a lock-up agreement substantially in the form of this Lock-Up</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Agreement, (b) in the case of any transfer pursuant to clauses (ii)-(x) and (xiii)-(xiv), any filing under Section 16(a) of the Exchange Act, reporting a reduction in beneficial ownership of shares of Common Stock, shall clearly indicate in the footnotes thereto the nature of the transaction, and (c) in the case of any transfer or distribution pursuant to clauses (ii)-(vii) and (ix), such transfer or disposition shall not involve a disposition for value.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 the avoidance of doubt, this Lock-Up Agreement shall not restrict the delivery of shares of Common Stock to the undersigned upon exercise of any options or settlement of any restricted stock units or other equity awards granted under any equity incentive plan of the Company;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any shares of Common Stock acquired in connection with any such exercise or settlement will be subject to the restrictions set forth in this Lock-Up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for the allowable Dispositions described herein, the undersigned further agrees that, without the prior written consent of the Representatives, he, she or it may not engage in any hedging or other transaction which is designed to or reasonably expected to lead to or result in a Disposition of Securities during the Lock-Up Period, even if such Securities would be disposed of by someone other than the undersigned. Such prohibited hedging or other transactions would include, without limitation, any short sale (whether or not against the box) or any purchase, sale or grant of any right (including, without limitation, any put or call option) with respect to any Securities or with respect to any security (other than a broad-based market basket or index) that includes, relates to or derives any significant part of its value from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also agrees and consents to the entry of stop transfer instructions with the Company’s transfer agent and registrar against the transfer of shares of Common Stock or Securities held by the undersigned except in compliance with the foregoing restrictions.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Lock-Up Agreement is irrevocable and will be binding on the undersigned and the respective successors, heirs, personal representatives, and assigns of the undersigned.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Lock-Up Agreement will be deemed to have been made and delivered in the State of New York, and both the binding provisions of this Lock-Up Agreement and the transactions contemplated hereby will be governed as to validity, interpretation, construction, effect and in all other respects by the internal laws of the State of New York, without regard to the conflict of laws principles thereof. The undersigned: (i) agrees that any legal suit, action or proceeding arising out of or relating to this Lock-Up Agreement will be instituted exclusively in the courts located in the City of New York, State of New York, (ii) waives any objection which it may have or hereafter to the venue of any such suit, action or proceeding, and (iii) irrevocably consents to the exclusive jurisdiction of the state and federal courts located in the City of New York, State of New York, in any such suit, action or proceeding, waiving any, and agreeing not to assert any, basis for seeking transfer or removal of such action to any other court, whether federal or state, unless the New York court in which such action or proceeding was commenced first declines jurisdiction. The undersigned further agrees to accept and acknowledge service of any and all process which may be served in any such suit, action or proceeding in such courts and agrees that service of process upon the undersigned mailed by certified mail to the undersigned’s address will be deemed in every respect effective service of process upon the undersigned.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Nothing in this Lock-Up Agreement shall constitute an obligation to purchase Common Stock or Securities of the Company. Whether or not the Offering actually occurs depends on a number of factors, including market conditions. Any Offering will only be made pursuant to the Underwriting Agreement, the terms of which are subject to negotiation among the parties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Lock-Up Agreement shall automatically terminate, and the undersigned will be released from all of his, her or its obligations hereunder, upon the earliest to occur, if any, of (i) the date that the Company advises the Representatives, in writing, prior to the execution of the Underwriting Agreement, that it has determined not to proceed with the Offering, (ii) the date that the Company files an application with the U.S. Securities and Exchange Commission to withdraw the registration statement related to the Offering before the execution of the Underwriting Agreement, (iii) if the Underwriting Agreement is executed but terminated (other than the provisions thereof that survive termination) prior to payment for and delivery of the shares of Class A Common Stock to be sold thereunder, the date that the Underwriting Agreement is terminated or (iv) July 31, 2026 if the Offering has not been completed by such date;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the Company may by written notice to the undersigned prior to July 31, 2026 extend such date for a period of up to an additional three months).</w:t>
      </w:r>
    </w:p>
    <w:p>
      <w:pPr>
        <w:pStyle w:val="TextBody"/>
        <w:bidi w:val="0"/>
        <w:spacing w:before="0" w:after="240"/>
        <w:jc w:val="both"/>
        <w:rPr>
          <w:rFonts w:ascii="Times New Roman" w:hAnsi="Times New Roman"/>
          <w:sz w:val="20"/>
        </w:rPr>
      </w:pPr>
      <w:r>
        <w:rPr>
          <w:rFonts w:ascii="Times New Roman" w:hAnsi="Times New Roman"/>
          <w:color w:val="000000"/>
          <w:sz w:val="22"/>
        </w:rPr>
        <w:t>In the event that any Representative withdraws from or declines to participate in the Offering, references to such Representative contained in this Lock-Up Agreement shall be deemed to refer to the remaining Representative that continues to participate in the Offering (the “</w:t>
      </w:r>
      <w:r>
        <w:rPr>
          <w:rFonts w:ascii="Times New Roman" w:hAnsi="Times New Roman"/>
          <w:b/>
          <w:color w:val="000000"/>
          <w:sz w:val="22"/>
        </w:rPr>
        <w:t>Remaining Representative</w:t>
      </w:r>
      <w:r>
        <w:rPr>
          <w:rFonts w:ascii="Times New Roman" w:hAnsi="Times New Roman"/>
          <w:color w:val="000000"/>
          <w:sz w:val="20"/>
        </w:rPr>
        <w:t>”</w:t>
      </w:r>
      <w:r>
        <w:rPr>
          <w:rFonts w:ascii="Times New Roman" w:hAnsi="Times New Roman"/>
          <w:color w:val="000000"/>
          <w:sz w:val="22"/>
        </w:rPr>
        <w:t>), and, in such event, any written consent, waiver or notice given or delivered in connection with this Lock-Up Agreement by the Remaining Representative shall be deemed to be sufficient and effective for all purposes under this Lock-Up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Lock-Up Agreement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signature so delivered shall be deemed to have been duly and validly delivered and be valid and effective for all purposes.</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[Signature Page Follows]</w:t>
      </w:r>
    </w:p>
    <w:p>
      <w:pPr>
        <w:pStyle w:val="TextBody"/>
        <w:bidi w:val="0"/>
        <w:spacing w:before="0" w:after="24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Very truly yours,</w:t>
      </w:r>
    </w:p>
    <w:tbl>
      <w:tblPr>
        <w:tblW w:w="10205" w:type="dxa"/>
        <w:jc w:val="left"/>
        <w:tblInd w:w="0" w:type="dxa"/>
        <w:tblLayout w:type="fixed"/>
        <w:tblCellMar>
          <w:top w:w="28" w:type="dxa"/>
          <w:left w:w="28" w:type="dxa"/>
          <w:bottom w:w="28" w:type="dxa"/>
          <w:right w:w="28" w:type="dxa"/>
        </w:tblCellMar>
      </w:tblPr>
      <w:tblGrid>
        <w:gridCol w:w="4370"/>
        <w:gridCol w:w="5835"/>
      </w:tblGrid>
      <w:tr>
        <w:trPr/>
        <w:tc>
          <w:tcPr>
            <w:tcW w:w="4370" w:type="dxa"/>
            <w:tcBorders/>
            <w:vAlign w:val="center"/>
          </w:tcPr>
          <w:p>
            <w:pPr>
              <w:pStyle w:val="TableContents"/>
              <w:bidi w:val="0"/>
              <w:spacing w:before="0" w:after="283"/>
              <w:jc w:val="left"/>
              <w:rPr>
                <w:sz w:val="4"/>
                <w:szCs w:val="4"/>
              </w:rPr>
            </w:pPr>
            <w:r>
              <w:rPr>
                <w:sz w:val="4"/>
                <w:szCs w:val="4"/>
              </w:rPr>
            </w:r>
          </w:p>
        </w:tc>
        <w:tc>
          <w:tcPr>
            <w:tcW w:w="5835" w:type="dxa"/>
            <w:tcBorders/>
            <w:vAlign w:val="center"/>
          </w:tcPr>
          <w:p>
            <w:pPr>
              <w:pStyle w:val="TableContents"/>
              <w:bidi w:val="0"/>
              <w:spacing w:before="0" w:after="283"/>
              <w:jc w:val="left"/>
              <w:rPr>
                <w:sz w:val="4"/>
                <w:szCs w:val="4"/>
              </w:rPr>
            </w:pPr>
            <w:r>
              <w:rPr>
                <w:sz w:val="4"/>
                <w:szCs w:val="4"/>
              </w:rPr>
            </w:r>
          </w:p>
        </w:tc>
      </w:tr>
      <w:tr>
        <w:trPr/>
        <w:tc>
          <w:tcPr>
            <w:tcW w:w="437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IF AN INDIVIDUAL:</w:t>
            </w:r>
          </w:p>
        </w:tc>
        <w:tc>
          <w:tcPr>
            <w:tcW w:w="58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IF AN ENTITY:</w:t>
            </w:r>
          </w:p>
        </w:tc>
      </w:tr>
      <w:tr>
        <w:trPr/>
        <w:tc>
          <w:tcPr>
            <w:tcW w:w="4370"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sz w:val="24"/>
              </w:rPr>
            </w:pPr>
            <w:r>
              <w:rPr>
                <w:rFonts w:ascii="Times New Roman" w:hAnsi="Times New Roman"/>
                <w:color w:val="000000"/>
                <w:sz w:val="22"/>
              </w:rPr>
              <w:t xml:space="preserve">By: </w:t>
            </w:r>
            <w:r>
              <w:rPr>
                <w:rFonts w:ascii="Times New Roman" w:hAnsi="Times New Roman"/>
                <w:color w:val="000000"/>
                <w:sz w:val="24"/>
                <w:u w:val="single"/>
              </w:rPr>
              <w:t>_________________________________</w:t>
            </w:r>
            <w:r>
              <w:rPr>
                <w:rFonts w:ascii="Times New Roman" w:hAnsi="Times New Roman"/>
                <w:color w:val="000000"/>
                <w:sz w:val="22"/>
                <w:u w:val="single"/>
              </w:rPr>
              <w:br/>
            </w:r>
            <w:r>
              <w:rPr>
                <w:rFonts w:ascii="Times New Roman" w:hAnsi="Times New Roman"/>
                <w:color w:val="000000"/>
                <w:sz w:val="24"/>
              </w:rPr>
              <w:t> </w:t>
            </w:r>
            <w:r>
              <w:rPr>
                <w:rFonts w:ascii="Times New Roman" w:hAnsi="Times New Roman"/>
                <w:i/>
                <w:color w:val="000000"/>
                <w:sz w:val="22"/>
              </w:rPr>
              <w:t>(duly authorized signature)</w:t>
            </w:r>
          </w:p>
        </w:tc>
        <w:tc>
          <w:tcPr>
            <w:tcW w:w="5835"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center"/>
              <w:rPr>
                <w:rFonts w:ascii="Times New Roman" w:hAnsi="Times New Roman"/>
                <w:sz w:val="24"/>
              </w:rPr>
            </w:pPr>
            <w:r>
              <w:rPr>
                <w:rFonts w:ascii="Times New Roman" w:hAnsi="Times New Roman"/>
                <w:color w:val="000000"/>
                <w:sz w:val="24"/>
                <w:u w:val="single"/>
              </w:rPr>
              <w:t xml:space="preserve">___________________________________ </w:t>
            </w:r>
            <w:r>
              <w:rPr>
                <w:rFonts w:ascii="Times New Roman" w:hAnsi="Times New Roman"/>
                <w:i/>
                <w:color w:val="000000"/>
                <w:sz w:val="22"/>
              </w:rPr>
              <w:t>(please print complete name of entity)</w:t>
            </w:r>
          </w:p>
        </w:tc>
      </w:tr>
      <w:tr>
        <w:trPr/>
        <w:tc>
          <w:tcPr>
            <w:tcW w:w="4370"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sz w:val="24"/>
              </w:rPr>
            </w:pPr>
            <w:r>
              <w:rPr>
                <w:rFonts w:ascii="Times New Roman" w:hAnsi="Times New Roman"/>
                <w:color w:val="000000"/>
                <w:sz w:val="22"/>
              </w:rPr>
              <w:t xml:space="preserve">Name: </w:t>
            </w:r>
            <w:r>
              <w:rPr>
                <w:rFonts w:ascii="Times New Roman" w:hAnsi="Times New Roman"/>
                <w:color w:val="000000"/>
                <w:sz w:val="24"/>
                <w:u w:val="single"/>
              </w:rPr>
              <w:t>______________________________</w:t>
            </w:r>
            <w:r>
              <w:rPr>
                <w:rFonts w:ascii="Times New Roman" w:hAnsi="Times New Roman"/>
                <w:color w:val="000000"/>
                <w:sz w:val="22"/>
                <w:u w:val="single"/>
              </w:rPr>
              <w:br/>
            </w:r>
            <w:r>
              <w:rPr>
                <w:rFonts w:ascii="Times New Roman" w:hAnsi="Times New Roman"/>
                <w:i/>
                <w:color w:val="000000"/>
                <w:sz w:val="22"/>
              </w:rPr>
              <w:t>(please print full name)</w:t>
            </w:r>
          </w:p>
        </w:tc>
        <w:tc>
          <w:tcPr>
            <w:tcW w:w="5835"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__________________________________</w:t>
              <w:br/>
            </w:r>
            <w:r>
              <w:rPr>
                <w:rFonts w:ascii="Times New Roman" w:hAnsi="Times New Roman"/>
                <w:color w:val="000000"/>
                <w:sz w:val="22"/>
              </w:rPr>
              <w:t> </w:t>
            </w:r>
            <w:r>
              <w:rPr>
                <w:rFonts w:ascii="Times New Roman" w:hAnsi="Times New Roman"/>
                <w:i/>
                <w:color w:val="000000"/>
                <w:sz w:val="22"/>
              </w:rPr>
              <w:t>(duly authorized signature)</w:t>
            </w:r>
          </w:p>
        </w:tc>
      </w:tr>
      <w:tr>
        <w:trPr/>
        <w:tc>
          <w:tcPr>
            <w:tcW w:w="4370"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pPr>
            <w:r>
              <w:rPr/>
              <w:t> </w:t>
            </w:r>
          </w:p>
        </w:tc>
        <w:tc>
          <w:tcPr>
            <w:tcW w:w="5835"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sz w:val="22"/>
              </w:rPr>
            </w:pPr>
            <w:r>
              <w:rPr>
                <w:rFonts w:ascii="Times New Roman" w:hAnsi="Times New Roman"/>
                <w:color w:val="000000"/>
                <w:sz w:val="22"/>
              </w:rPr>
              <w:t xml:space="preserve">Name: </w:t>
            </w:r>
            <w:r>
              <w:rPr>
                <w:rFonts w:ascii="Times New Roman" w:hAnsi="Times New Roman"/>
                <w:color w:val="000000"/>
                <w:sz w:val="22"/>
                <w:u w:val="single"/>
              </w:rPr>
              <w:t>__________________________________</w:t>
              <w:br/>
            </w:r>
            <w:r>
              <w:rPr>
                <w:rFonts w:ascii="Times New Roman" w:hAnsi="Times New Roman"/>
                <w:i/>
                <w:color w:val="000000"/>
                <w:sz w:val="22"/>
              </w:rPr>
              <w:t>(please print full name)</w:t>
            </w:r>
          </w:p>
          <w:p>
            <w:pPr>
              <w:pStyle w:val="TableContents"/>
              <w:bidi w:val="0"/>
              <w:jc w:val="both"/>
              <w:rPr/>
            </w:pPr>
            <w:r>
              <w:rPr/>
              <w:t> </w:t>
            </w:r>
          </w:p>
          <w:p>
            <w:pPr>
              <w:pStyle w:val="TableContents"/>
              <w:bidi w:val="0"/>
              <w:jc w:val="both"/>
              <w:rPr>
                <w:rFonts w:ascii="Times New Roman" w:hAnsi="Times New Roman"/>
                <w:sz w:val="22"/>
              </w:rPr>
            </w:pPr>
            <w:r>
              <w:rPr>
                <w:rFonts w:ascii="Times New Roman" w:hAnsi="Times New Roman"/>
                <w:color w:val="000000"/>
                <w:sz w:val="22"/>
              </w:rPr>
              <w:t xml:space="preserve">Title: </w:t>
            </w:r>
            <w:r>
              <w:rPr>
                <w:rFonts w:ascii="Times New Roman" w:hAnsi="Times New Roman"/>
                <w:color w:val="000000"/>
                <w:sz w:val="22"/>
                <w:u w:val="single"/>
              </w:rPr>
              <w:t>_________________________________</w:t>
            </w:r>
          </w:p>
          <w:p>
            <w:pPr>
              <w:pStyle w:val="TableContents"/>
              <w:bidi w:val="0"/>
              <w:spacing w:before="0" w:after="283"/>
              <w:jc w:val="both"/>
              <w:rPr>
                <w:color w:val="000000"/>
              </w:rPr>
            </w:pPr>
            <w:r>
              <w:rPr>
                <w:color w:val="000000"/>
              </w:rPr>
              <w:t> </w:t>
            </w:r>
            <w:r>
              <w:rPr>
                <w:rFonts w:ascii="Times New Roman" w:hAnsi="Times New Roman"/>
                <w:i/>
                <w:color w:val="000000"/>
                <w:sz w:val="22"/>
              </w:rPr>
              <w:t>(please print full title)</w:t>
            </w:r>
          </w:p>
        </w:tc>
      </w:tr>
      <w:tr>
        <w:trPr/>
        <w:tc>
          <w:tcPr>
            <w:tcW w:w="4370"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 xml:space="preserve">Address: </w:t>
            </w:r>
          </w:p>
          <w:p>
            <w:pPr>
              <w:pStyle w:val="TableContents"/>
              <w:bidi w:val="0"/>
              <w:jc w:val="both"/>
              <w:rPr>
                <w:rFonts w:ascii="Times New Roman" w:hAnsi="Times New Roman"/>
                <w:color w:val="000000"/>
                <w:sz w:val="22"/>
                <w:u w:val="single"/>
              </w:rPr>
            </w:pPr>
            <w:r>
              <w:rPr>
                <w:rFonts w:ascii="Times New Roman" w:hAnsi="Times New Roman"/>
                <w:color w:val="000000"/>
                <w:sz w:val="22"/>
                <w:u w:val="single"/>
              </w:rPr>
              <w:t>_______________________________________</w:t>
            </w:r>
          </w:p>
          <w:p>
            <w:pPr>
              <w:pStyle w:val="TableContents"/>
              <w:bidi w:val="0"/>
              <w:spacing w:before="0" w:after="283"/>
              <w:jc w:val="both"/>
              <w:rPr>
                <w:rFonts w:ascii="Times New Roman" w:hAnsi="Times New Roman"/>
                <w:color w:val="000000"/>
                <w:sz w:val="22"/>
                <w:u w:val="single"/>
              </w:rPr>
            </w:pPr>
            <w:r>
              <w:rPr>
                <w:rFonts w:ascii="Times New Roman" w:hAnsi="Times New Roman"/>
                <w:color w:val="000000"/>
                <w:sz w:val="22"/>
                <w:u w:val="single"/>
              </w:rPr>
              <w:br/>
              <w:t>_______________________________________</w:t>
            </w:r>
          </w:p>
        </w:tc>
        <w:tc>
          <w:tcPr>
            <w:tcW w:w="583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 xml:space="preserve">Address: </w:t>
            </w:r>
          </w:p>
          <w:p>
            <w:pPr>
              <w:pStyle w:val="TableContents"/>
              <w:bidi w:val="0"/>
              <w:jc w:val="both"/>
              <w:rPr>
                <w:rFonts w:ascii="Times New Roman" w:hAnsi="Times New Roman"/>
                <w:color w:val="000000"/>
                <w:sz w:val="22"/>
                <w:u w:val="single"/>
              </w:rPr>
            </w:pPr>
            <w:r>
              <w:rPr>
                <w:rFonts w:ascii="Times New Roman" w:hAnsi="Times New Roman"/>
                <w:color w:val="000000"/>
                <w:sz w:val="22"/>
                <w:u w:val="single"/>
              </w:rPr>
              <w:t>_______________________________________</w:t>
            </w:r>
          </w:p>
          <w:p>
            <w:pPr>
              <w:pStyle w:val="TableContents"/>
              <w:bidi w:val="0"/>
              <w:spacing w:before="0" w:after="283"/>
              <w:jc w:val="both"/>
              <w:rPr>
                <w:rFonts w:ascii="Times New Roman" w:hAnsi="Times New Roman"/>
                <w:color w:val="000000"/>
                <w:sz w:val="22"/>
                <w:u w:val="single"/>
              </w:rPr>
            </w:pPr>
            <w:r>
              <w:rPr>
                <w:rFonts w:ascii="Times New Roman" w:hAnsi="Times New Roman"/>
                <w:color w:val="000000"/>
                <w:sz w:val="22"/>
                <w:u w:val="single"/>
              </w:rPr>
              <w:br/>
              <w:t>_______________________________________</w:t>
            </w:r>
          </w:p>
        </w:tc>
      </w:tr>
      <w:tr>
        <w:trPr/>
        <w:tc>
          <w:tcPr>
            <w:tcW w:w="4370"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E-mail: </w:t>
            </w:r>
          </w:p>
        </w:tc>
        <w:tc>
          <w:tcPr>
            <w:tcW w:w="58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br/>
              <w:t xml:space="preserve">E-mail: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0"/>
        </w:rPr>
      </w:pPr>
      <w:bookmarkStart w:id="26" w:name="gloo-ex5_1.htm"/>
      <w:bookmarkStart w:id="27" w:name="ksglooex5_1"/>
      <w:bookmarkEnd w:id="26"/>
      <w:bookmarkEnd w:id="27"/>
      <w:r>
        <w:rPr>
          <w:rFonts w:ascii="Times New Roman" w:hAnsi="Times New Roman"/>
          <w:b/>
          <w:color w:val="000000"/>
          <w:sz w:val="20"/>
        </w:rPr>
        <w:t>Exhibit 5.1</w:t>
      </w:r>
      <w:r>
        <w:br w:type="page"/>
      </w:r>
    </w:p>
    <w:tbl>
      <w:tblPr>
        <w:tblW w:w="8559" w:type="dxa"/>
        <w:jc w:val="left"/>
        <w:tblInd w:w="0" w:type="dxa"/>
        <w:tblLayout w:type="fixed"/>
        <w:tblCellMar>
          <w:top w:w="28" w:type="dxa"/>
          <w:left w:w="28" w:type="dxa"/>
          <w:bottom w:w="28" w:type="dxa"/>
          <w:right w:w="28" w:type="dxa"/>
        </w:tblCellMar>
      </w:tblPr>
      <w:tblGrid>
        <w:gridCol w:w="3977"/>
        <w:gridCol w:w="4582"/>
      </w:tblGrid>
      <w:tr>
        <w:trPr/>
        <w:tc>
          <w:tcPr>
            <w:tcW w:w="3977" w:type="dxa"/>
            <w:tcBorders/>
            <w:vAlign w:val="center"/>
          </w:tcPr>
          <w:p>
            <w:pPr>
              <w:pStyle w:val="TableContents"/>
              <w:bidi w:val="0"/>
              <w:spacing w:before="0" w:after="283"/>
              <w:jc w:val="left"/>
              <w:rPr>
                <w:sz w:val="4"/>
                <w:szCs w:val="4"/>
              </w:rPr>
            </w:pPr>
            <w:r>
              <w:rPr>
                <w:sz w:val="4"/>
                <w:szCs w:val="4"/>
              </w:rPr>
            </w:r>
          </w:p>
        </w:tc>
        <w:tc>
          <w:tcPr>
            <w:tcW w:w="4582" w:type="dxa"/>
            <w:tcBorders/>
            <w:vAlign w:val="center"/>
          </w:tcPr>
          <w:p>
            <w:pPr>
              <w:pStyle w:val="TableContents"/>
              <w:bidi w:val="0"/>
              <w:spacing w:before="0" w:after="283"/>
              <w:jc w:val="left"/>
              <w:rPr>
                <w:sz w:val="4"/>
                <w:szCs w:val="4"/>
              </w:rPr>
            </w:pPr>
            <w:r>
              <w:rPr>
                <w:sz w:val="4"/>
                <w:szCs w:val="4"/>
              </w:rPr>
            </w:r>
          </w:p>
        </w:tc>
      </w:tr>
      <w:tr>
        <w:trPr/>
        <w:tc>
          <w:tcPr>
            <w:tcW w:w="3977" w:type="dxa"/>
            <w:tcBorders/>
            <w:tcMar>
              <w:top w:w="0" w:type="dxa"/>
              <w:left w:w="0" w:type="dxa"/>
              <w:bottom w:w="0" w:type="dxa"/>
              <w:right w:w="0" w:type="dxa"/>
            </w:tcMar>
            <w:vAlign w:val="center"/>
          </w:tcPr>
          <w:p>
            <w:pPr>
              <w:pStyle w:val="TableContents"/>
              <w:bidi w:val="0"/>
              <w:spacing w:before="120" w:after="283"/>
              <w:ind w:left="0" w:right="0" w:firstLine="1941"/>
              <w:jc w:val="left"/>
              <w:rPr/>
            </w:pPr>
            <w:r>
              <w:rPr/>
              <w:drawing>
                <wp:inline distT="0" distB="0" distL="0" distR="0">
                  <wp:extent cx="1228725"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2"/>
                          <a:stretch>
                            <a:fillRect/>
                          </a:stretch>
                        </pic:blipFill>
                        <pic:spPr bwMode="auto">
                          <a:xfrm>
                            <a:off x="0" y="0"/>
                            <a:ext cx="1228725" cy="466725"/>
                          </a:xfrm>
                          <a:prstGeom prst="rect">
                            <a:avLst/>
                          </a:prstGeom>
                        </pic:spPr>
                      </pic:pic>
                    </a:graphicData>
                  </a:graphic>
                </wp:inline>
              </w:drawing>
            </w:r>
          </w:p>
        </w:tc>
        <w:tc>
          <w:tcPr>
            <w:tcW w:w="4582" w:type="dxa"/>
            <w:tcBorders/>
            <w:tcMar>
              <w:top w:w="0" w:type="dxa"/>
              <w:left w:w="0" w:type="dxa"/>
              <w:bottom w:w="0" w:type="dxa"/>
              <w:right w:w="0" w:type="dxa"/>
            </w:tcMar>
            <w:vAlign w:val="center"/>
          </w:tcPr>
          <w:p>
            <w:pPr>
              <w:pStyle w:val="TableContents"/>
              <w:bidi w:val="0"/>
              <w:spacing w:before="120" w:after="283"/>
              <w:ind w:left="0" w:right="0" w:firstLine="1941"/>
              <w:jc w:val="left"/>
              <w:rPr>
                <w:rFonts w:ascii="Georgia;serif" w:hAnsi="Georgia;serif"/>
                <w:color w:val="003D4C"/>
                <w:sz w:val="16"/>
              </w:rPr>
            </w:pPr>
            <w:r>
              <w:rPr>
                <w:rFonts w:ascii="Georgia;serif" w:hAnsi="Georgia;serif"/>
                <w:color w:val="003D4C"/>
                <w:sz w:val="16"/>
              </w:rPr>
              <w:t>Wilson Sonsini Goodrich &amp; Rosati</w:t>
              <w:br/>
              <w:t>Professional Corporation</w:t>
            </w:r>
          </w:p>
          <w:p>
            <w:pPr>
              <w:pStyle w:val="TableContents"/>
              <w:bidi w:val="0"/>
              <w:spacing w:before="80" w:after="283"/>
              <w:ind w:left="0" w:right="0" w:firstLine="1941"/>
              <w:jc w:val="left"/>
              <w:rPr>
                <w:rFonts w:ascii="Georgia;serif" w:hAnsi="Georgia;serif"/>
                <w:color w:val="003D4C"/>
                <w:sz w:val="16"/>
              </w:rPr>
            </w:pPr>
            <w:r>
              <w:rPr>
                <w:rFonts w:ascii="Georgia;serif" w:hAnsi="Georgia;serif"/>
                <w:color w:val="003D4C"/>
                <w:sz w:val="16"/>
              </w:rPr>
              <w:t>1155 Canyon Blvd.</w:t>
              <w:br/>
              <w:t>Boulder, Colorado 80302-5148</w:t>
            </w:r>
          </w:p>
          <w:p>
            <w:pPr>
              <w:pStyle w:val="TableContents"/>
              <w:bidi w:val="0"/>
              <w:spacing w:before="80" w:after="283"/>
              <w:ind w:left="0" w:right="0" w:firstLine="1941"/>
              <w:jc w:val="left"/>
              <w:rPr>
                <w:rFonts w:ascii="Times New Roman" w:hAnsi="Times New Roman"/>
                <w:sz w:val="16"/>
              </w:rPr>
            </w:pPr>
            <w:r>
              <w:rPr>
                <w:rFonts w:ascii="Georgia;serif" w:hAnsi="Georgia;serif"/>
                <w:smallCaps/>
                <w:color w:val="003D4C"/>
                <w:sz w:val="16"/>
              </w:rPr>
              <w:t>o</w:t>
            </w:r>
            <w:r>
              <w:rPr>
                <w:rFonts w:ascii="Georgia;serif" w:hAnsi="Georgia;serif"/>
                <w:color w:val="003D4C"/>
                <w:sz w:val="16"/>
              </w:rPr>
              <w:t>: 303.256.5900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July 6, 2026</w:t>
      </w:r>
    </w:p>
    <w:p>
      <w:pPr>
        <w:pStyle w:val="TextBody"/>
        <w:bidi w:val="0"/>
        <w:spacing w:before="240" w:after="283"/>
        <w:jc w:val="left"/>
        <w:rPr>
          <w:rFonts w:ascii="Times New Roman" w:hAnsi="Times New Roman"/>
          <w:sz w:val="20"/>
        </w:rPr>
      </w:pPr>
      <w:r>
        <w:rPr>
          <w:rFonts w:ascii="Times New Roman" w:hAnsi="Times New Roman"/>
          <w:color w:val="000000"/>
          <w:sz w:val="20"/>
        </w:rPr>
        <w:t>Gloo Holdings, Inc.</w:t>
      </w:r>
      <w:r>
        <w:rPr>
          <w:rFonts w:ascii="Times New Roman" w:hAnsi="Times New Roman"/>
          <w:caps/>
          <w:color w:val="000000"/>
          <w:sz w:val="20"/>
        </w:rPr>
        <w:br/>
        <w:t xml:space="preserve">831 </w:t>
      </w:r>
      <w:r>
        <w:rPr>
          <w:rFonts w:ascii="Times New Roman" w:hAnsi="Times New Roman"/>
          <w:color w:val="000000"/>
          <w:sz w:val="20"/>
        </w:rPr>
        <w:t>Pearl Street</w:t>
        <w:br/>
        <w:t>Boulder, Colorado 80302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 Registration Statement on Form S-1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Ladies and Gentlemen: </w:t>
      </w:r>
    </w:p>
    <w:p>
      <w:pPr>
        <w:pStyle w:val="TextBody"/>
        <w:bidi w:val="0"/>
        <w:spacing w:before="240" w:after="283"/>
        <w:jc w:val="both"/>
        <w:rPr>
          <w:rFonts w:ascii="Times New Roman" w:hAnsi="Times New Roman"/>
          <w:sz w:val="20"/>
        </w:rPr>
      </w:pPr>
      <w:r>
        <w:rPr>
          <w:rFonts w:ascii="Times New Roman" w:hAnsi="Times New Roman"/>
          <w:color w:val="000000"/>
          <w:sz w:val="20"/>
        </w:rPr>
        <w:t>This opinion is furnished to you in connection with the Registration Statement on Form S-1 (Registration No. 333-296949), as amended (the “</w:t>
      </w:r>
      <w:r>
        <w:rPr>
          <w:rFonts w:ascii="Times New Roman" w:hAnsi="Times New Roman"/>
          <w:b/>
          <w:i/>
          <w:color w:val="000000"/>
          <w:sz w:val="20"/>
        </w:rPr>
        <w:t>Registration Statement</w:t>
      </w:r>
      <w:r>
        <w:rPr>
          <w:rFonts w:ascii="Times New Roman" w:hAnsi="Times New Roman"/>
          <w:color w:val="000000"/>
          <w:sz w:val="20"/>
        </w:rPr>
        <w:t>”), filed by Gloo Holdings, Inc., a Delaware corporation (the “</w:t>
      </w:r>
      <w:r>
        <w:rPr>
          <w:rFonts w:ascii="Times New Roman" w:hAnsi="Times New Roman"/>
          <w:b/>
          <w:i/>
          <w:color w:val="000000"/>
          <w:sz w:val="20"/>
        </w:rPr>
        <w:t>Company</w:t>
      </w:r>
      <w:r>
        <w:rPr>
          <w:rFonts w:ascii="Times New Roman" w:hAnsi="Times New Roman"/>
          <w:color w:val="000000"/>
          <w:sz w:val="20"/>
        </w:rPr>
        <w:t>”), with the Securities and Exchange Commission (the “</w:t>
      </w:r>
      <w:r>
        <w:rPr>
          <w:rFonts w:ascii="Times New Roman" w:hAnsi="Times New Roman"/>
          <w:b/>
          <w:i/>
          <w:color w:val="000000"/>
          <w:sz w:val="20"/>
        </w:rPr>
        <w:t>Commission</w:t>
      </w:r>
      <w:r>
        <w:rPr>
          <w:rFonts w:ascii="Times New Roman" w:hAnsi="Times New Roman"/>
          <w:color w:val="000000"/>
          <w:sz w:val="20"/>
        </w:rPr>
        <w:t>”) in connection with the registration pursuant to the Securities Act of 1933, as amended (the “</w:t>
      </w:r>
      <w:r>
        <w:rPr>
          <w:rFonts w:ascii="Times New Roman" w:hAnsi="Times New Roman"/>
          <w:b/>
          <w:i/>
          <w:color w:val="000000"/>
          <w:sz w:val="20"/>
        </w:rPr>
        <w:t>Act</w:t>
      </w:r>
      <w:r>
        <w:rPr>
          <w:rFonts w:ascii="Times New Roman" w:hAnsi="Times New Roman"/>
          <w:color w:val="000000"/>
          <w:sz w:val="20"/>
        </w:rPr>
        <w:t>”), of up to 8,050,000 shares (which includes up to 1,050,000 shares issuable upon exercise of an option granted to the underwriters) of the Company’s Class A common stock, $0.001 par value per share (the “</w:t>
      </w:r>
      <w:r>
        <w:rPr>
          <w:rFonts w:ascii="Times New Roman" w:hAnsi="Times New Roman"/>
          <w:b/>
          <w:i/>
          <w:color w:val="000000"/>
          <w:sz w:val="20"/>
        </w:rPr>
        <w:t>Shares</w:t>
      </w:r>
      <w:r>
        <w:rPr>
          <w:rFonts w:ascii="Times New Roman" w:hAnsi="Times New Roman"/>
          <w:color w:val="000000"/>
          <w:sz w:val="20"/>
        </w:rPr>
        <w:t>”), to be issued and sold by the Company. We understand that the Shares are to be sold to the underwriters for resale to the public as described in the Registration Statement and pursuant to an underwriting agreement, substantially in the form filed as an exhibit to the Registration Statement, to be entered into by and among the Company and representatives of the several underwriters named therein (the “</w:t>
      </w:r>
      <w:r>
        <w:rPr>
          <w:rFonts w:ascii="Times New Roman" w:hAnsi="Times New Roman"/>
          <w:b/>
          <w:i/>
          <w:color w:val="000000"/>
          <w:sz w:val="20"/>
        </w:rPr>
        <w:t>Underwriting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acting as counsel for the Company in connection with the sale of the Shares by the Company. In such capacity, we have examined originals or copies, certified or otherwise identified to our satisfaction, of such instruments, documents, certificates and records that we have deemed relevant and necessary for the basis of our opinions hereinafter expressed. As to questions of fact material to this opinion, we have relied on certificates or comparable documents of public officials and of officers and representatives of the Company. In our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and (d) the legal competence of all signatories to such documents.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the basis of the foregoing, we are of the opinion that the Shares to be issued and sold by the Company have been duly authorized and, when such Shares are issued and paid for in accordance with the terms of the Underwriting Agreement, will be validly issued, fully paid and nonassessable.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 *</w:t>
      </w:r>
    </w:p>
    <w:p>
      <w:pPr>
        <w:pStyle w:val="TextBody"/>
        <w:bidi w:val="0"/>
        <w:spacing w:before="60" w:after="60"/>
        <w:jc w:val="center"/>
        <w:rPr>
          <w:rFonts w:ascii="Times New Roman" w:hAnsi="Times New Roman"/>
          <w:caps/>
          <w:color w:val="003D4C"/>
          <w:sz w:val="14"/>
        </w:rPr>
      </w:pPr>
      <w:r>
        <w:rPr>
          <w:rFonts w:ascii="Times New Roman" w:hAnsi="Times New Roman"/>
          <w:caps/>
          <w:color w:val="003D4C"/>
          <w:sz w:val="14"/>
        </w:rPr>
        <w:t>austin boston BOULDER brussels hong kong london los angeles new york palo alto</w:t>
      </w:r>
    </w:p>
    <w:p>
      <w:pPr>
        <w:pStyle w:val="TextBody"/>
        <w:bidi w:val="0"/>
        <w:jc w:val="center"/>
        <w:rPr>
          <w:rFonts w:ascii="Times New Roman" w:hAnsi="Times New Roman"/>
          <w:caps/>
          <w:color w:val="003D4C"/>
          <w:sz w:val="14"/>
        </w:rPr>
      </w:pPr>
      <w:r>
        <w:rPr>
          <w:rFonts w:ascii="Times New Roman" w:hAnsi="Times New Roman"/>
          <w:caps/>
          <w:color w:val="003D4C"/>
          <w:sz w:val="14"/>
        </w:rPr>
        <w:t>SALT LAKE CITY san diego san francisco seattle shanghai washington, dc wilmington, de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09600" cy="228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3"/>
                    <a:stretch>
                      <a:fillRect/>
                    </a:stretch>
                  </pic:blipFill>
                  <pic:spPr bwMode="auto">
                    <a:xfrm>
                      <a:off x="0" y="0"/>
                      <a:ext cx="609600" cy="22860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July 6, 2026</w:t>
      </w:r>
    </w:p>
    <w:p>
      <w:pPr>
        <w:pStyle w:val="TextBody"/>
        <w:bidi w:val="0"/>
        <w:jc w:val="left"/>
        <w:rPr>
          <w:rFonts w:ascii="Times New Roman" w:hAnsi="Times New Roman"/>
          <w:color w:val="000000"/>
          <w:sz w:val="20"/>
        </w:rPr>
      </w:pPr>
      <w:r>
        <w:rPr>
          <w:rFonts w:ascii="Times New Roman" w:hAnsi="Times New Roman"/>
          <w:color w:val="000000"/>
          <w:sz w:val="20"/>
        </w:rPr>
        <w:t>Page 2</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consent to the filing of this opinion as an exhibit to the above-referenced Registration Statement, and we consent to the use of our name wherever it appears in the prospectus forming part of the Registration Statement, and in any amendment or supplement thereto. In giving such consent, we do not thereby admit that we are in the category of persons whose consent is required under Section 7 of the Act or the rules or regulations of the Commission thereunder.</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Very truly yours,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WILSON SONSINI GOODRICH &amp; ROSATI</w:t>
        <w:br/>
        <w:t>Professional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Wilson Sonsini Goodrich &amp; Rosati, P.C.</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8" w:name="gloo-ex23_1.htm"/>
      <w:bookmarkStart w:id="29" w:name="ksglooex23_1"/>
      <w:bookmarkEnd w:id="28"/>
      <w:bookmarkEnd w:id="29"/>
      <w:r>
        <w:rPr>
          <w:rFonts w:ascii="Arial" w:hAnsi="Arial"/>
          <w:b/>
          <w:color w:val="000000"/>
          <w:sz w:val="20"/>
        </w:rPr>
        <w:t>Exhibit 23.1</w:t>
      </w:r>
      <w:r>
        <w:br w:type="page"/>
      </w:r>
    </w:p>
    <w:p>
      <w:pPr>
        <w:pStyle w:val="TextBody"/>
        <w:bidi w:val="0"/>
        <w:jc w:val="center"/>
        <w:rPr>
          <w:rFonts w:ascii="Arial" w:hAnsi="Arial"/>
          <w:color w:val="000000"/>
          <w:sz w:val="20"/>
        </w:rPr>
      </w:pPr>
      <w:r>
        <w:rPr>
          <w:rFonts w:ascii="Arial" w:hAnsi="Arial"/>
          <w:color w:val="000000"/>
          <w:sz w:val="20"/>
        </w:rPr>
        <w:t>CONSENT OF INDEPENDENT REGISTERED PUBLIC ACCOUNTING FIRM</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We consent to the incorporation by reference in this Amendment No. 1 to the Registration Statement of Gloo Holdings, Inc. on Form S-1 of our report dated April 15, 2026 on the consolidated financial statements of Gloo Holdings, Inc. appearing in the January 31, 2026 Form 10-K of Gloo Holdings, Inc., and to the reference to us under the heading "Experts" in the prospectus.</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/s/ Crowe LLP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Los Angeles, California</w:t>
      </w:r>
    </w:p>
    <w:p>
      <w:pPr>
        <w:pStyle w:val="TextBody"/>
        <w:bidi w:val="0"/>
        <w:jc w:val="both"/>
        <w:rPr>
          <w:rFonts w:ascii="Arial" w:hAnsi="Arial"/>
          <w:color w:val="000000"/>
          <w:sz w:val="20"/>
        </w:rPr>
      </w:pPr>
      <w:r>
        <w:rPr>
          <w:rFonts w:ascii="Arial" w:hAnsi="Arial"/>
          <w:color w:val="000000"/>
          <w:sz w:val="20"/>
        </w:rPr>
        <w:t>July 6, 2026</w:t>
      </w:r>
    </w:p>
    <w:p>
      <w:pPr>
        <w:pStyle w:val="TextBody"/>
        <w:bidi w:val="0"/>
        <w:jc w:val="both"/>
        <w:rPr/>
      </w:pPr>
      <w:r>
        <w:rPr/>
        <w:t> </w:t>
      </w:r>
    </w:p>
    <w:p>
      <w:pPr>
        <w:pStyle w:val="TextBody"/>
        <w:bidi w:val="0"/>
        <w:spacing w:before="12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30" w:name="gloo-ex23_2.htm"/>
      <w:bookmarkStart w:id="31" w:name="ksglooex23_2"/>
      <w:bookmarkEnd w:id="30"/>
      <w:bookmarkEnd w:id="31"/>
      <w:r>
        <w:rPr>
          <w:rFonts w:ascii="Arial" w:hAnsi="Arial"/>
          <w:b/>
          <w:color w:val="000000"/>
          <w:sz w:val="20"/>
        </w:rPr>
        <w:t>Exhibit 23.2</w:t>
      </w:r>
      <w:r>
        <w:br w:type="page"/>
      </w:r>
    </w:p>
    <w:p>
      <w:pPr>
        <w:pStyle w:val="TextBody"/>
        <w:bidi w:val="0"/>
        <w:jc w:val="both"/>
        <w:rPr/>
      </w:pPr>
      <w:r>
        <w:rPr/>
        <w:t> </w:t>
      </w:r>
    </w:p>
    <w:p>
      <w:pPr>
        <w:pStyle w:val="TextBody"/>
        <w:bidi w:val="0"/>
        <w:jc w:val="both"/>
        <w:rPr/>
      </w:pPr>
      <w:r>
        <w:rPr/>
        <w:t> </w:t>
      </w:r>
    </w:p>
    <w:p>
      <w:pPr>
        <w:pStyle w:val="TextBody"/>
        <w:bidi w:val="0"/>
        <w:spacing w:before="120" w:after="120"/>
        <w:jc w:val="center"/>
        <w:rPr>
          <w:rFonts w:ascii="Arial" w:hAnsi="Arial"/>
          <w:color w:val="000000"/>
          <w:sz w:val="18"/>
        </w:rPr>
      </w:pPr>
      <w:r>
        <w:rPr>
          <w:rFonts w:ascii="Arial" w:hAnsi="Arial"/>
          <w:color w:val="000000"/>
          <w:sz w:val="18"/>
        </w:rPr>
        <w:t>CONSENT OF INDEPENDENT AUDITOR</w:t>
      </w:r>
    </w:p>
    <w:p>
      <w:pPr>
        <w:pStyle w:val="TextBody"/>
        <w:bidi w:val="0"/>
        <w:jc w:val="both"/>
        <w:rPr>
          <w:rFonts w:ascii="Arial" w:hAnsi="Arial"/>
          <w:color w:val="000000"/>
          <w:sz w:val="20"/>
        </w:rPr>
      </w:pPr>
      <w:r>
        <w:rPr>
          <w:rFonts w:ascii="Arial" w:hAnsi="Arial"/>
          <w:color w:val="000000"/>
          <w:sz w:val="20"/>
        </w:rPr>
        <w:t>We consent to the incorporation by reference in this Amendment No. 1 to the Registration Statement of Gloo Holdings, Inc. on Form S-1 of our report dated July 23, 2025 relating to the financial statements of Midwestern Interactive, LLC appearing in the January 31, 2026 Form 10-K of Gloo Holdings, Inc.</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/s/ Crowe LLP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Los Angeles, California</w:t>
      </w:r>
    </w:p>
    <w:p>
      <w:pPr>
        <w:pStyle w:val="TextBody"/>
        <w:bidi w:val="0"/>
        <w:jc w:val="both"/>
        <w:rPr>
          <w:rFonts w:ascii="Arial" w:hAnsi="Arial"/>
          <w:color w:val="000000"/>
          <w:sz w:val="20"/>
        </w:rPr>
      </w:pPr>
      <w:r>
        <w:rPr>
          <w:rFonts w:ascii="Arial" w:hAnsi="Arial"/>
          <w:color w:val="000000"/>
          <w:sz w:val="20"/>
        </w:rPr>
        <w:t>July 6, 2026</w:t>
      </w:r>
    </w:p>
    <w:p>
      <w:pPr>
        <w:pStyle w:val="TextBody"/>
        <w:bidi w:val="0"/>
        <w:jc w:val="both"/>
        <w:rPr/>
      </w:pPr>
      <w:r>
        <w:rPr/>
        <w:t> </w:t>
      </w:r>
    </w:p>
    <w:p>
      <w:pPr>
        <w:pStyle w:val="TextBody"/>
        <w:bidi w:val="0"/>
        <w:spacing w:before="12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2" w:name="gloo-exfiling_fees.htm"/>
      <w:bookmarkStart w:id="33" w:name="ksglooexfiling_fees"/>
      <w:bookmarkStart w:id="34" w:name="gloo-exfiling_fees.htm"/>
      <w:bookmarkStart w:id="35" w:name="ksglooexfiling_fees"/>
      <w:bookmarkEnd w:id="34"/>
      <w:bookmarkEnd w:id="35"/>
      <w:r>
        <w:br w:type="page"/>
      </w:r>
    </w:p>
    <w:tbl>
      <w:tblPr>
        <w:tblW w:w="3568" w:type="dxa"/>
        <w:jc w:val="left"/>
        <w:tblInd w:w="0" w:type="dxa"/>
        <w:tblLayout w:type="fixed"/>
        <w:tblCellMar>
          <w:top w:w="28" w:type="dxa"/>
          <w:left w:w="28" w:type="dxa"/>
          <w:bottom w:w="28" w:type="dxa"/>
          <w:right w:w="28" w:type="dxa"/>
        </w:tblCellMar>
      </w:tblPr>
      <w:tblGrid>
        <w:gridCol w:w="3414"/>
        <w:gridCol w:w="154"/>
      </w:tblGrid>
      <w:tr>
        <w:trPr/>
        <w:tc>
          <w:tcPr>
            <w:tcW w:w="356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4"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14" w:type="dxa"/>
            <w:tcBorders/>
            <w:vAlign w:val="center"/>
          </w:tcPr>
          <w:p>
            <w:pPr>
              <w:pStyle w:val="TableContents"/>
              <w:bidi w:val="0"/>
              <w:spacing w:before="0" w:after="283"/>
              <w:jc w:val="left"/>
              <w:rPr>
                <w:b/>
              </w:rPr>
            </w:pPr>
            <w:r>
              <w:rPr>
                <w:b/>
              </w:rPr>
              <w:t xml:space="preserve">Gloo Holdings,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89" w:type="dxa"/>
        <w:jc w:val="left"/>
        <w:tblInd w:w="0" w:type="dxa"/>
        <w:tblLayout w:type="fixed"/>
        <w:tblCellMar>
          <w:top w:w="28" w:type="dxa"/>
          <w:left w:w="28" w:type="dxa"/>
          <w:bottom w:w="28" w:type="dxa"/>
          <w:right w:w="28" w:type="dxa"/>
        </w:tblCellMar>
      </w:tblPr>
      <w:tblGrid>
        <w:gridCol w:w="1126"/>
        <w:gridCol w:w="226"/>
        <w:gridCol w:w="946"/>
        <w:gridCol w:w="946"/>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8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46" w:type="dxa"/>
            <w:tcBorders/>
            <w:shd w:fill="E7E7E2" w:val="clear"/>
            <w:vAlign w:val="center"/>
          </w:tcPr>
          <w:p>
            <w:pPr>
              <w:pStyle w:val="TableContents"/>
              <w:bidi w:val="0"/>
              <w:spacing w:before="0" w:after="283"/>
              <w:jc w:val="left"/>
              <w:rPr/>
            </w:pPr>
            <w:r>
              <w:rPr/>
              <w:t xml:space="preserve">Class A common stock, $0.001 par value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1,786,952 </w:t>
            </w:r>
          </w:p>
        </w:tc>
        <w:tc>
          <w:tcPr>
            <w:tcW w:w="1156" w:type="dxa"/>
            <w:tcBorders/>
            <w:shd w:fill="E7E7E2" w:val="clear"/>
            <w:vAlign w:val="center"/>
          </w:tcPr>
          <w:p>
            <w:pPr>
              <w:pStyle w:val="TableContents"/>
              <w:bidi w:val="0"/>
              <w:spacing w:before="0" w:after="283"/>
              <w:jc w:val="right"/>
              <w:rPr/>
            </w:pPr>
            <w:r>
              <w:rPr/>
              <w:t xml:space="preserve">$ 4.79 </w:t>
            </w:r>
          </w:p>
        </w:tc>
        <w:tc>
          <w:tcPr>
            <w:tcW w:w="1666" w:type="dxa"/>
            <w:tcBorders/>
            <w:shd w:fill="E7E7E2" w:val="clear"/>
            <w:vAlign w:val="center"/>
          </w:tcPr>
          <w:p>
            <w:pPr>
              <w:pStyle w:val="TableContents"/>
              <w:bidi w:val="0"/>
              <w:spacing w:before="0" w:after="283"/>
              <w:jc w:val="right"/>
              <w:rPr/>
            </w:pPr>
            <w:r>
              <w:rPr/>
              <w:t xml:space="preserve">$ 8,559,500.08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$ 1,182.07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946" w:type="dxa"/>
            <w:tcBorders/>
            <w:shd w:fill="E7E7E2" w:val="clear"/>
            <w:vAlign w:val="center"/>
          </w:tcPr>
          <w:p>
            <w:pPr>
              <w:pStyle w:val="TableContents"/>
              <w:bidi w:val="0"/>
              <w:spacing w:before="0" w:after="283"/>
              <w:jc w:val="left"/>
              <w:rPr/>
            </w:pPr>
            <w:r>
              <w:rPr/>
              <w:t xml:space="preserve">Class A common stock, $0.001 par value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6,263,048 </w:t>
            </w:r>
          </w:p>
        </w:tc>
        <w:tc>
          <w:tcPr>
            <w:tcW w:w="1156" w:type="dxa"/>
            <w:tcBorders/>
            <w:shd w:fill="E7E7E2" w:val="clear"/>
            <w:vAlign w:val="center"/>
          </w:tcPr>
          <w:p>
            <w:pPr>
              <w:pStyle w:val="TableContents"/>
              <w:bidi w:val="0"/>
              <w:spacing w:before="0" w:after="283"/>
              <w:jc w:val="right"/>
              <w:rPr/>
            </w:pPr>
            <w:r>
              <w:rPr/>
              <w:t xml:space="preserve">$ 4.79 </w:t>
            </w:r>
          </w:p>
        </w:tc>
        <w:tc>
          <w:tcPr>
            <w:tcW w:w="1666" w:type="dxa"/>
            <w:tcBorders/>
            <w:shd w:fill="E7E7E2" w:val="clear"/>
            <w:vAlign w:val="center"/>
          </w:tcPr>
          <w:p>
            <w:pPr>
              <w:pStyle w:val="TableContents"/>
              <w:bidi w:val="0"/>
              <w:spacing w:before="0" w:after="283"/>
              <w:jc w:val="right"/>
              <w:rPr/>
            </w:pPr>
            <w:r>
              <w:rPr/>
              <w:t xml:space="preserve">$ 29,999,999.92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$ 4,143.00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8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36" w:name="MaxAggtOfferingPrice"/>
            <w:bookmarkEnd w:id="36"/>
            <w:r>
              <w:rPr/>
              <w:t xml:space="preserve">$ 38,559,500.00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7" w:name="TotalFeeAmt"/>
            <w:bookmarkEnd w:id="37"/>
            <w:r>
              <w:rPr/>
              <w:t xml:space="preserve">$ 5,325.07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PreviouslyPaidAmt"/>
            <w:bookmarkEnd w:id="38"/>
            <w:r>
              <w:rPr/>
              <w:t xml:space="preserve">$ 4,143.00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TotalOffset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NetFeeAmt"/>
            <w:bookmarkEnd w:id="40"/>
            <w:r>
              <w:rPr/>
              <w:t xml:space="preserve">$ 1,182.07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294"/>
        <w:gridCol w:w="8706"/>
      </w:tblGrid>
      <w:tr>
        <w:trPr/>
        <w:tc>
          <w:tcPr>
            <w:tcW w:w="20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0" w:type="dxa"/>
            <w:gridSpan w:val="2"/>
            <w:tcBorders/>
            <w:vAlign w:val="center"/>
          </w:tcPr>
          <w:p>
            <w:pPr>
              <w:pStyle w:val="TableContents"/>
              <w:bidi w:val="0"/>
              <w:spacing w:before="0" w:after="283"/>
              <w:jc w:val="left"/>
              <w:rPr/>
            </w:pPr>
            <w:r>
              <w:rPr/>
              <w:t xml:space="preserve">(a) Includes 1,050,000 additional shares of our Class A common stock that the underwriters have the option to purchase. (b) Estimated solely for the purpose of calculating the registration fee. In accordance with Rule 457(c) under the Securities Act of 1933, as amended, the maximum price per share and maximum aggregate offering price are based on the average of the $4.97 (high) and $4.60 (low) sale price of our Class A common stock as reported on the Nasdaq Global Select Market on July 1, 2026, which date is within five business days prior to filing this registration statement.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5"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0" w:type="dxa"/>
            <w:gridSpan w:val="2"/>
            <w:tcBorders/>
            <w:vAlign w:val="center"/>
          </w:tcPr>
          <w:p>
            <w:pPr>
              <w:pStyle w:val="TableContents"/>
              <w:bidi w:val="0"/>
              <w:spacing w:before="0" w:after="283"/>
              <w:jc w:val="left"/>
              <w:rPr/>
            </w:pPr>
            <w:r>
              <w:rPr/>
              <w:t xml:space="preserve">We previously paid a registration fee of $4,143.00 in connection with the initial filing of this registration statement on June 22, 2026. The fee was estimated solely for the purpose of calculating the registration fee in accordance with Rule 457(o) under the Securities Act. The maximum aggregate offering price was originally registered under Rule 457(o) and is now converted to Rule 457(a). See note 1(a) above.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ix?doc=/Archives/edgar/data/0002069785/000119312526156999/gloo-20260131.htm" TargetMode="External"/><Relationship Id="rId4" Type="http://schemas.openxmlformats.org/officeDocument/2006/relationships/hyperlink" Target="https://www.sec.gov/ix?doc=/Archives/edgar/data/0002069785/000119312526241947/gloo-20260527.htm" TargetMode="External"/><Relationship Id="rId5" Type="http://schemas.openxmlformats.org/officeDocument/2006/relationships/hyperlink" Target="https://www.sec.gov/ix?doc=/Archives/edgar/data/0002069785/000119312526263889/gloo-20260430.htm" TargetMode="External"/><Relationship Id="rId6" Type="http://schemas.openxmlformats.org/officeDocument/2006/relationships/hyperlink" Target="https://www.sec.gov/ix?doc=/Archives/edgar/data/0002069785/000119312526154910/gloo-20260412.htm" TargetMode="External"/><Relationship Id="rId7" Type="http://schemas.openxmlformats.org/officeDocument/2006/relationships/hyperlink" Target="https://www.sec.gov/ix?doc=/Archives/edgar/data/0002069785/000119312526204299/gloo-20260501.htm" TargetMode="External"/><Relationship Id="rId8" Type="http://schemas.openxmlformats.org/officeDocument/2006/relationships/hyperlink" Target="https://www.sec.gov/Archives/edgar/data/2069785/000119312525287192/project_grace_8a-12b.htm" TargetMode="External"/><Relationship Id="rId9" Type="http://schemas.openxmlformats.org/officeDocument/2006/relationships/image" Target="media/image1.gif"/><Relationship Id="rId10" Type="http://schemas.openxmlformats.org/officeDocument/2006/relationships/hyperlink" Target="https://www.sec.gov/Archives/edgar/data/2069785/000119312525330952/gloo-ex3_1.htm" TargetMode="External"/><Relationship Id="rId11" Type="http://schemas.openxmlformats.org/officeDocument/2006/relationships/hyperlink" Target="https://www.sec.gov/Archives/edgar/data/2069785/000119312525242216/ck0002069785-ex3_2.htm" TargetMode="External"/><Relationship Id="rId12" Type="http://schemas.openxmlformats.org/officeDocument/2006/relationships/hyperlink" Target="https://www.sec.gov/Archives/edgar/data/2069785/000119312525258610/ck0002069785-ex4_1.htm" TargetMode="External"/><Relationship Id="rId13" Type="http://schemas.openxmlformats.org/officeDocument/2006/relationships/hyperlink" Target="https://www.sec.gov/Archives/edgar/data/2069785/000119312525242216/ck0002069785-ex10_1.htm" TargetMode="External"/><Relationship Id="rId14" Type="http://schemas.openxmlformats.org/officeDocument/2006/relationships/hyperlink" Target="https://www.sec.gov/Archives/edgar/data/2069785/000119312525258610/ck0002069785-ex10_2.htm" TargetMode="External"/><Relationship Id="rId15" Type="http://schemas.openxmlformats.org/officeDocument/2006/relationships/hyperlink" Target="https://www.sec.gov/Archives/edgar/data/2069785/000119312525258610/ck0002069785-ex10_3.htm" TargetMode="External"/><Relationship Id="rId16" Type="http://schemas.openxmlformats.org/officeDocument/2006/relationships/hyperlink" Target="https://www.sec.gov/Archives/edgar/data/2069785/000119312525242216/ck0002069785-ex10_4.htm" TargetMode="External"/><Relationship Id="rId17" Type="http://schemas.openxmlformats.org/officeDocument/2006/relationships/hyperlink" Target="https://www.sec.gov/Archives/edgar/data/2069785/000119312525242216/ck0002069785-ex10_5.htm" TargetMode="External"/><Relationship Id="rId18" Type="http://schemas.openxmlformats.org/officeDocument/2006/relationships/hyperlink" Target="https://www.sec.gov/Archives/edgar/data/2069785/000119312525258610/ck0002069785-ex10_6.htm" TargetMode="External"/><Relationship Id="rId19" Type="http://schemas.openxmlformats.org/officeDocument/2006/relationships/hyperlink" Target="https://www.sec.gov/Archives/edgar/data/2069785/000119312525258610/ck0002069785-ex10_7.htm" TargetMode="External"/><Relationship Id="rId20" Type="http://schemas.openxmlformats.org/officeDocument/2006/relationships/hyperlink" Target="https://www.sec.gov/Archives/edgar/data/2069785/000119312525258610/ck0002069785-ex10_8.htm" TargetMode="External"/><Relationship Id="rId21" Type="http://schemas.openxmlformats.org/officeDocument/2006/relationships/hyperlink" Target="https://www.sec.gov/Archives/edgar/data/2069785/000119312525258610/ck0002069785-ex10_9.htm" TargetMode="External"/><Relationship Id="rId22" Type="http://schemas.openxmlformats.org/officeDocument/2006/relationships/hyperlink" Target="https://www.sec.gov/Archives/edgar/data/2069785/000119312525258610/ck0002069785-ex10_10.htm" TargetMode="External"/><Relationship Id="rId23" Type="http://schemas.openxmlformats.org/officeDocument/2006/relationships/hyperlink" Target="https://www.sec.gov/Archives/edgar/data/2069785/000119312525242216/ck0002069785-ex10_11.htm" TargetMode="External"/><Relationship Id="rId24" Type="http://schemas.openxmlformats.org/officeDocument/2006/relationships/hyperlink" Target="https://www.sec.gov/Archives/edgar/data/2069785/000119312525242216/ck0002069785-ex10_12.htm" TargetMode="External"/><Relationship Id="rId25" Type="http://schemas.openxmlformats.org/officeDocument/2006/relationships/hyperlink" Target="https://www.sec.gov/Archives/edgar/data/2069785/000119312525242216/ck0002069785-ex10_13.htm" TargetMode="External"/><Relationship Id="rId26" Type="http://schemas.openxmlformats.org/officeDocument/2006/relationships/hyperlink" Target="https://www.sec.gov/Archives/edgar/data/2069785/000119312525242216/ck0002069785-ex10_14.htm" TargetMode="External"/><Relationship Id="rId27" Type="http://schemas.openxmlformats.org/officeDocument/2006/relationships/hyperlink" Target="https://www.sec.gov/Archives/edgar/data/2069785/000119312525242216/ck0002069785-ex10_15.htm" TargetMode="External"/><Relationship Id="rId28" Type="http://schemas.openxmlformats.org/officeDocument/2006/relationships/hyperlink" Target="https://www.sec.gov/Archives/edgar/data/2069785/000119312525258610/ck0002069785-ex10_16.htm" TargetMode="External"/><Relationship Id="rId29" Type="http://schemas.openxmlformats.org/officeDocument/2006/relationships/hyperlink" Target="https://www.sec.gov/Archives/edgar/data/2069785/000119312525258610/ck0002069785-ex10_17.htm" TargetMode="External"/><Relationship Id="rId30" Type="http://schemas.openxmlformats.org/officeDocument/2006/relationships/hyperlink" Target="https://www.sec.gov/Archives/edgar/data/2069785/000119312526156999/gloo-ex21_1.htm" TargetMode="External"/><Relationship Id="rId31" Type="http://schemas.openxmlformats.org/officeDocument/2006/relationships/hyperlink" Target="https://www.sec.gov/Archives/edgar/data/2069785/000119312526277637/gloo-20260622.htm" TargetMode="External"/><Relationship Id="rId32" Type="http://schemas.openxmlformats.org/officeDocument/2006/relationships/image" Target="media/image2.gif"/><Relationship Id="rId33" Type="http://schemas.openxmlformats.org/officeDocument/2006/relationships/image" Target="media/image3.gif"/><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82563</Words>
  <Characters>445319</Characters>
  <CharactersWithSpaces>528041</CharactersWithSpaces>
  <Paragraphs>6584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