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loo-20260731.htm"/>
      <w:bookmarkStart w:id="1" w:name="ksgloo2026073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July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 to 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001-42964</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sz w:val="28"/>
        </w:rPr>
      </w:pPr>
      <w:r>
        <w:rPr>
          <w:rFonts w:ascii="Times New Roman" w:hAnsi="Times New Roman"/>
          <w:b/>
          <w:color w:val="000000"/>
          <w:sz w:val="28"/>
        </w:rPr>
        <w:t>GLOO HOLDINGS, INC.</w:t>
      </w:r>
      <w:r>
        <w:rPr>
          <w:rFonts w:ascii="Times New Roman" w:hAnsi="Times New Roman"/>
          <w:color w:val="000000"/>
          <w:sz w:val="28"/>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39-2250711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831 Pearl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Boulder, Colorado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80302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381-2645</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8170" w:type="dxa"/>
        <w:jc w:val="left"/>
        <w:tblInd w:w="0" w:type="dxa"/>
        <w:tblLayout w:type="fixed"/>
        <w:tblCellMar>
          <w:top w:w="28" w:type="dxa"/>
          <w:left w:w="28" w:type="dxa"/>
          <w:bottom w:w="28" w:type="dxa"/>
          <w:right w:w="28" w:type="dxa"/>
        </w:tblCellMar>
      </w:tblPr>
      <w:tblGrid>
        <w:gridCol w:w="3736"/>
        <w:gridCol w:w="146"/>
        <w:gridCol w:w="826"/>
        <w:gridCol w:w="146"/>
        <w:gridCol w:w="3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GLOO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rFonts w:ascii="Times New Roman" w:hAnsi="Times New Roman"/>
          <w:color w:val="000000"/>
          <w:sz w:val="8"/>
        </w:rPr>
      </w:pPr>
      <w:r>
        <w:rPr>
          <w:rFonts w:ascii="Times New Roman" w:hAnsi="Times New Roman"/>
          <w:color w:val="000000"/>
          <w:sz w:val="8"/>
        </w:rPr>
        <w:t>p</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September 10, 2026, the registrant had 40,215,326 shares of Class A common stock, par value $0.001 per share, and 51,315,715 shares of Class B common stock, par value $0.001 per share, outstanding, which excludes 298,835 shares of Class B common stock held by our consolidated, majority-owned subsidiaries, which are not entitled to vote pursuant to Section 160(c) of the Delaware General Corporation Law.</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Table of Contents</w:t>
      </w:r>
    </w:p>
    <w:p>
      <w:pPr>
        <w:pStyle w:val="TextBody"/>
        <w:bidi w:val="0"/>
        <w:jc w:val="left"/>
        <w:rPr/>
      </w:pPr>
      <w:r>
        <w:rPr/>
        <w:t> </w:t>
      </w:r>
    </w:p>
    <w:tbl>
      <w:tblPr>
        <w:tblW w:w="10158" w:type="dxa"/>
        <w:jc w:val="left"/>
        <w:tblInd w:w="0" w:type="dxa"/>
        <w:tblLayout w:type="fixed"/>
        <w:tblCellMar>
          <w:top w:w="28" w:type="dxa"/>
          <w:left w:w="28" w:type="dxa"/>
          <w:bottom w:w="28" w:type="dxa"/>
          <w:right w:w="28" w:type="dxa"/>
        </w:tblCellMar>
      </w:tblPr>
      <w:tblGrid>
        <w:gridCol w:w="886"/>
        <w:gridCol w:w="876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i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comp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members_deficit">
              <w:r>
                <w:rPr>
                  <w:rStyle w:val="InternetLink"/>
                  <w:rFonts w:ascii="Times New Roman" w:hAnsi="Times New Roman"/>
                  <w:color w:val="0000FF"/>
                  <w:sz w:val="20"/>
                  <w:u w:val="single"/>
                </w:rPr>
                <w:t>Condensed Consolidated Statements of Mezzanine Equity and Stockholders’ Equity and Members’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oc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densed_consol_fs">
              <w:r>
                <w:rPr>
                  <w:rStyle w:val="InternetLink"/>
                  <w:rFonts w:ascii="Times New Roman" w:hAnsi="Times New Roman"/>
                  <w:color w:val="0000FF"/>
                  <w:sz w:val="20"/>
                  <w:u w:val="single"/>
                </w:rPr>
                <w:t>Notes to the Condensed Consolidated Financial Statements (Unaudited)</w:t>
              </w:r>
            </w:hyperlink>
            <w:hyperlink w:anchor="notes_condensed_consol_f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r>
      <w:tr>
        <w:trPr/>
        <w:tc>
          <w:tcPr>
            <w:tcW w:w="9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the section of this report titled “Risk Factors.” The following is a summary of the principal risks we face: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operating history and experience with scaling our platform, which makes it difficult to evaluate our business and prospects and forecast our future results.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recent growth may not be sustainable or indicative of future performance.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 history of net losses and may not achieve profitability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is no assurance that we will be able to continue as a going concern without achieving profitable operations or raising additional capital through potential equity or debt financing transactions, which we may not be able to obtain on favorable terms or at all.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fail to acquire new customers or the faith and flourishing ecosystem does not develop as we anticipate, our sales will not grow as quickly as expected, or at all, and our business, financial condition and results of operations will be harmed.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effectively develop and expand our sales and marketing capabilities, including reliance on product-led sales efforts, could harm our ability to increase our customer base and achieve broader market acceptance and utilization of our platform.</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certain risks as a mission-driven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Mr. Beck and our senior management team to operate our business, and the loss of one or more of them could adversely affect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develop, maintain and enhance our brand and reputation cost-effectively, our business, financial condition and results of operations could be adversely affected.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markets in which we participate are competitive, and if we do not compete effectively, our business, financial condition and results of operations could be harmed.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require additional capital to support the growth of our business, and such capital might not be available on favorable terms or at all.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identify attractive acquisition or investment targets, acquire or invest in them at attractive prices or successfully integrate their operations or otherwise realize their anticipated benefits, we may be unsuccessful in growing our business.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Sellers in our acquisition of Visitor Reach, LLC (“Visitor Reach”) have repurchase rights during specified periods, and any exercise of such rights could adversely affect our business, financial condition and results of operations. The existence of the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repurchase rights may increase the likelihood of an impairment charge, complicate the overall integration process and decrease the benefits potentially realizable from investment synergies.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Interruptions or performance problems associated with our platform and the technology we use might harm our business, financial condition and results of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developing new AI platform offerings and incorporating AI-technology into certain of our platform offerings, which may result in operational, financial and reputational harm and other adverse consequences to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identified material weaknesses in our internal control over financial reporting in connection with the preparation and audit of our financial statements for the fiscal years ended January 31, 2025 and 2024, and these material weaknesses continued to exist as of July 31,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quarterly results might fluctuate and if we fail to meet the expectations of analysts or investors, the trading price of our Class A common stock could decline substantially.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 future sales of shares of our Class A common stock, or the perception that such sales may occur, could cause the trading price of our Class A common stock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financial performance;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scale our platform, manage our growth and expand our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anticipated trends in our business and the faith and flourishing ecosystem;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acquisitions and investments;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continue as a going concern;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remediate material weaknesses in our internal control over financial reporting;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raise additional capital;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retain and expand our customer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remain competitive;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develop new products and enhance our platform;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retain our senior management team and attract talented employees;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expectations of the performance, capabilities and attractiveness to our customers of our AI offerings;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and enhance our brand;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economic conditions and their impact on customer demand and charitable donations;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defend against claims, lawsuits, investigations, litigation and other proceedings;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comply with laws and regulations that currently apply or become applicable to our business;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expectations regarding our ability to obtain, maintain, enforce, defend and enhance our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investments, collaborations or similar transactions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expressly indicated or the context suggests otherwise, references to: “Gloo,” “we,” “us” and “our” refer to Gloo Holdings, Inc. (formerly known as Gloo Holdings, LLC) and its consolidated subsidiaries. Our fiscal year ends on January 31, and the years ended January 31, 2024, 2025, 2026 and 2027 are referred to herein as “fiscal 2023”, “fiscal 2024”, “fiscal 2025” and “fiscal 2026” respectively.</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 - FINANCIAL INFORMATION</w:t>
      </w:r>
    </w:p>
    <w:p>
      <w:pPr>
        <w:pStyle w:val="TextBody"/>
        <w:bidi w:val="0"/>
        <w:jc w:val="left"/>
        <w:rPr>
          <w:rFonts w:ascii="Times New Roman" w:hAnsi="Times New Roman"/>
          <w:sz w:val="20"/>
        </w:rPr>
      </w:pPr>
      <w:bookmarkStart w:id="3" w:name="item_1_f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TextBody"/>
        <w:bidi w:val="0"/>
        <w:jc w:val="center"/>
        <w:rPr>
          <w:rFonts w:ascii="Times New Roman" w:hAnsi="Times New Roman"/>
          <w:b/>
          <w:color w:val="000000"/>
          <w:sz w:val="20"/>
        </w:rPr>
      </w:pPr>
      <w:bookmarkStart w:id="4" w:name="condensed_consolidated_b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795"/>
        <w:gridCol w:w="146"/>
        <w:gridCol w:w="166"/>
        <w:gridCol w:w="146"/>
        <w:gridCol w:w="496"/>
        <w:gridCol w:w="151"/>
        <w:gridCol w:w="146"/>
        <w:gridCol w:w="166"/>
        <w:gridCol w:w="146"/>
        <w:gridCol w:w="496"/>
        <w:gridCol w:w="351"/>
      </w:tblGrid>
      <w:tr>
        <w:trPr/>
        <w:tc>
          <w:tcPr>
            <w:tcW w:w="7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July 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January 31,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2"/>
              </w:rPr>
            </w:pPr>
            <w:r>
              <w:rPr>
                <w:rFonts w:ascii="Times New Roman" w:hAnsi="Times New Roman"/>
                <w:i/>
                <w:color w:val="000000"/>
                <w:sz w:val="12"/>
              </w:rPr>
              <w:t>(in thousands, except share data)</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57,307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80"/>
              <w:jc w:val="left"/>
              <w:rPr>
                <w:rFonts w:ascii="Times New Roman" w:hAnsi="Times New Roman"/>
                <w:sz w:val="12"/>
              </w:rPr>
            </w:pPr>
            <w:r>
              <w:rPr>
                <w:rFonts w:ascii="Times New Roman" w:hAnsi="Times New Roman"/>
                <w:color w:val="000000"/>
                <w:sz w:val="12"/>
              </w:rPr>
              <w:t xml:space="preserve">Accounts receivable, net of allowance for credit losses of $76 and $75, respectively </w:t>
            </w:r>
            <w:r>
              <w:rPr>
                <w:rFonts w:ascii="Times New Roman" w:hAnsi="Times New Roman"/>
                <w:color w:val="000000"/>
                <w:sz w:val="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1,397</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75,604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30,078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 xml:space="preserve">ROU operating lease asset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37,283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107,353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271,134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263,659</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MEZZANINE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80"/>
              <w:jc w:val="left"/>
              <w:rPr>
                <w:rFonts w:ascii="Times New Roman" w:hAnsi="Times New Roman"/>
                <w:sz w:val="12"/>
              </w:rPr>
            </w:pPr>
            <w:r>
              <w:rPr>
                <w:rFonts w:ascii="Times New Roman" w:hAnsi="Times New Roman"/>
                <w:color w:val="000000"/>
                <w:sz w:val="12"/>
              </w:rPr>
              <w:t xml:space="preserve">Accounts payable </w:t>
            </w: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80"/>
              <w:jc w:val="left"/>
              <w:rPr>
                <w:rFonts w:ascii="Times New Roman" w:hAnsi="Times New Roman"/>
                <w:sz w:val="12"/>
              </w:rPr>
            </w:pPr>
            <w:r>
              <w:rPr>
                <w:rFonts w:ascii="Times New Roman" w:hAnsi="Times New Roman"/>
                <w:color w:val="000000"/>
                <w:sz w:val="12"/>
              </w:rPr>
              <w:t xml:space="preserve">Accrued compensation </w:t>
            </w:r>
            <w:r>
              <w:rPr>
                <w:rFonts w:ascii="Times New Roman" w:hAnsi="Times New Roman"/>
                <w:color w:val="000000"/>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8,397</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6,414</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Acquisition-related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80"/>
              <w:jc w:val="left"/>
              <w:rPr>
                <w:rFonts w:ascii="Times New Roman" w:hAnsi="Times New Roman"/>
                <w:sz w:val="12"/>
              </w:rPr>
            </w:pPr>
            <w:r>
              <w:rPr>
                <w:rFonts w:ascii="Times New Roman" w:hAnsi="Times New Roman"/>
                <w:color w:val="000000"/>
                <w:sz w:val="12"/>
              </w:rPr>
              <w:t>Debt, current </w:t>
            </w: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80"/>
              <w:jc w:val="left"/>
              <w:rPr>
                <w:rFonts w:ascii="Times New Roman" w:hAnsi="Times New Roman"/>
                <w:sz w:val="12"/>
              </w:rPr>
            </w:pPr>
            <w:r>
              <w:rPr>
                <w:rFonts w:ascii="Times New Roman" w:hAnsi="Times New Roman"/>
                <w:color w:val="000000"/>
                <w:sz w:val="12"/>
              </w:rPr>
              <w:t xml:space="preserve">Lease liabilities, current </w:t>
            </w:r>
            <w:r>
              <w:rPr>
                <w:rFonts w:ascii="Times New Roman" w:hAnsi="Times New Roman"/>
                <w:color w:val="000000"/>
                <w:sz w:val="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48,541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Acquisition-related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 xml:space="preserve">Debt, non-current </w:t>
            </w:r>
            <w:r>
              <w:rPr>
                <w:rFonts w:ascii="Times New Roman" w:hAnsi="Times New Roman"/>
                <w:color w:val="000000"/>
                <w:sz w:val="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29,485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 xml:space="preserve">Lease liabilities, non-current </w:t>
            </w:r>
            <w:r>
              <w:rPr>
                <w:rFonts w:ascii="Times New Roman" w:hAnsi="Times New Roman"/>
                <w:color w:val="000000"/>
                <w:sz w:val="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 xml:space="preserve">Derivative liability </w:t>
            </w:r>
            <w:r>
              <w:rPr>
                <w:rFonts w:ascii="Times New Roman" w:hAnsi="Times New Roman"/>
                <w:color w:val="000000"/>
                <w:sz w:val="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MW Call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12,858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111,547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105,977</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Commitment and Contingencies (See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Redeemable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Class A, $0.001 par value, 5,000,000,000 shares authorized, and 38,541,604 issued and outstanding as of July 31, 2026 and 11,405,352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Class B, $0.001 par value, 100,000,000 shares authorized, 51,816,158 issued and 51,517,323 outstanding as of July 31, 2026 and 69,465,772 issued and 69,166,937 outstanding as of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Treasury stock, at cost; 298,835 Class B shares as of July 31, 2026 and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178,619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(40,119</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Equity attributable to stockholders of Gloo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135,174</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Equity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18,949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155,823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154,123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7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liabilities, mezzanine equity,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271,134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263,659</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both"/>
        <w:rPr>
          <w:rFonts w:ascii="Times New Roman" w:hAnsi="Times New Roman"/>
          <w:sz w:val="12"/>
        </w:rPr>
      </w:pPr>
      <w:r>
        <w:rPr>
          <w:rFonts w:ascii="Times New Roman" w:hAnsi="Times New Roman"/>
          <w:color w:val="000000"/>
          <w:sz w:val="12"/>
        </w:rPr>
        <w:t>Includes related party accounts receivable of</w:t>
      </w:r>
      <w:r>
        <w:rPr>
          <w:rFonts w:ascii="Times New Roman" w:hAnsi="Times New Roman"/>
          <w:color w:val="0000FF"/>
          <w:sz w:val="12"/>
        </w:rPr>
        <w:t xml:space="preserve"> </w:t>
      </w:r>
      <w:r>
        <w:rPr>
          <w:rFonts w:ascii="Times New Roman" w:hAnsi="Times New Roman"/>
          <w:color w:val="000000"/>
          <w:sz w:val="12"/>
        </w:rPr>
        <w:t>$0.4 million and $0.2 million as of July 31, 2026 and January 31, 2026,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related party leases of $4.2 million and $5.1 million as of July 31, 2026 and January 31, 2026,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related party accounts payable of $0.2 million and $1.0 million as of July 31, 2026 and January 31, 2026,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 xml:space="preserve">Includes related party accrued compensation of $0.2 million and nil as of July 31, 2026 and January 31, 2026, respectively.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current debt from related parties of $3.1 million and $4.0 million as of July 31, 2026 and January 31, 2026,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related party leases of $0.9 million and $1.0 million as of July 31, 2026 and January 31, 2026,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(7)</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non-current debt from related parties of $15.2 million and $24.5 million as of July 31, 2026 and January 31, 2026,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(8)</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related party leases of $3.3 million and $4.2 million as of July 31, 2026 and January 31, 2026,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(9)</w:t>
      </w:r>
    </w:p>
    <w:p>
      <w:pPr>
        <w:pStyle w:val="TextBody"/>
        <w:bidi w:val="0"/>
        <w:jc w:val="both"/>
        <w:rPr>
          <w:rFonts w:ascii="Times New Roman" w:hAnsi="Times New Roman"/>
          <w:color w:val="000000"/>
          <w:sz w:val="12"/>
        </w:rPr>
      </w:pPr>
      <w:r>
        <w:rPr>
          <w:rFonts w:ascii="Times New Roman" w:hAnsi="Times New Roman"/>
          <w:color w:val="000000"/>
          <w:sz w:val="12"/>
        </w:rPr>
        <w:t>Includes the derivative liability associated with non-current debt from related parties of $0.3 million and $0.3 million as of July 31, 2026 and January 31, 2026, respectively.</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TextBody"/>
        <w:bidi w:val="0"/>
        <w:jc w:val="center"/>
        <w:rPr>
          <w:rFonts w:ascii="Times New Roman" w:hAnsi="Times New Roman"/>
          <w:b/>
          <w:color w:val="000000"/>
          <w:sz w:val="20"/>
        </w:rPr>
      </w:pPr>
      <w:bookmarkStart w:id="5" w:name="condensed_consolidated_i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80"/>
        <w:gridCol w:w="146"/>
        <w:gridCol w:w="196"/>
        <w:gridCol w:w="146"/>
        <w:gridCol w:w="916"/>
        <w:gridCol w:w="166"/>
        <w:gridCol w:w="146"/>
        <w:gridCol w:w="196"/>
        <w:gridCol w:w="146"/>
        <w:gridCol w:w="826"/>
        <w:gridCol w:w="166"/>
        <w:gridCol w:w="146"/>
        <w:gridCol w:w="196"/>
        <w:gridCol w:w="146"/>
        <w:gridCol w:w="916"/>
        <w:gridCol w:w="166"/>
        <w:gridCol w:w="146"/>
        <w:gridCol w:w="196"/>
        <w:gridCol w:w="146"/>
        <w:gridCol w:w="826"/>
        <w:gridCol w:w="391"/>
      </w:tblGrid>
      <w:tr>
        <w:trPr/>
        <w:tc>
          <w:tcPr>
            <w:tcW w:w="3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 except share, per share, unit, and per unit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Revenue </w:t>
            </w:r>
            <w:r>
              <w:rPr>
                <w:rFonts w:ascii="Times New Roman" w:hAnsi="Times New Roman"/>
                <w:color w:val="000000"/>
                <w:sz w:val="13"/>
              </w:rPr>
              <w:t>(1)</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Platform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Platform solutions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8"/>
              </w:rPr>
            </w:pPr>
            <w:r>
              <w:rPr>
                <w:rFonts w:ascii="Times New Roman" w:hAnsi="Times New Roman"/>
                <w:color w:val="000000"/>
                <w:sz w:val="18"/>
              </w:rPr>
              <w:t>Cost of revenue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8"/>
              </w:rPr>
            </w:pPr>
            <w:r>
              <w:rPr>
                <w:rFonts w:ascii="Times New Roman" w:hAnsi="Times New Roman"/>
                <w:color w:val="000000"/>
                <w:sz w:val="18"/>
              </w:rPr>
              <w:t xml:space="preserve">Product development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8"/>
              </w:rPr>
            </w:pPr>
            <w:r>
              <w:rPr>
                <w:rFonts w:ascii="Times New Roman" w:hAnsi="Times New Roman"/>
                <w:color w:val="000000"/>
                <w:sz w:val="18"/>
              </w:rPr>
              <w:t xml:space="preserve">Sales and marketing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8"/>
              </w:rPr>
            </w:pPr>
            <w:r>
              <w:rPr>
                <w:rFonts w:ascii="Times New Roman" w:hAnsi="Times New Roman"/>
                <w:color w:val="000000"/>
                <w:sz w:val="18"/>
              </w:rPr>
              <w:t>General and administrative </w:t>
            </w:r>
            <w:r>
              <w:rPr>
                <w:rFonts w:ascii="Times New Roman" w:hAnsi="Times New Roman"/>
                <w:color w:val="000000"/>
                <w:sz w:val="12"/>
              </w:rPr>
              <w:t>(5)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8"/>
              </w:rPr>
            </w:pPr>
            <w:r>
              <w:rPr>
                <w:rFonts w:ascii="Times New Roman" w:hAnsi="Times New Roman"/>
                <w:color w:val="000000"/>
                <w:sz w:val="18"/>
              </w:rPr>
              <w:t xml:space="preserve">Interest expense </w:t>
            </w: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(Gain) loss from 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from equity method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Less: net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stockholders and members of Gloo Holdings, Inc. and Gloo Holdings, LLC,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stockholders of Gloo Holdings, Inc. (Class A and Class B) and units of members of Gloo Holdings, LLC,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common shares (Class A and Class B) of Gloo Holdings, Inc. and units of Gloo Holdings, LLC used to compute net loss per share and unit, respectively,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84,096,399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81,406,063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8,217,024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w:t>
      </w:r>
    </w:p>
    <w:p>
      <w:pPr>
        <w:pStyle w:val="TextBody"/>
        <w:bidi w:val="0"/>
        <w:spacing w:before="0" w:after="0"/>
        <w:jc w:val="both"/>
        <w:rPr>
          <w:rFonts w:ascii="Times New Roman" w:hAnsi="Times New Roman"/>
          <w:sz w:val="12"/>
        </w:rPr>
      </w:pPr>
      <w:r>
        <w:rPr>
          <w:rFonts w:ascii="Times New Roman" w:hAnsi="Times New Roman"/>
          <w:color w:val="000000"/>
          <w:sz w:val="12"/>
        </w:rPr>
        <w:t>Includes revenues from related parties of $2.3 million and $1.2 million for the three months ended July 31, 2026 and 2025, respectively, and</w:t>
      </w:r>
      <w:r>
        <w:rPr>
          <w:rFonts w:ascii="Times New Roman" w:hAnsi="Times New Roman"/>
          <w:color w:val="0000FF"/>
          <w:sz w:val="12"/>
        </w:rPr>
        <w:t xml:space="preserve"> </w:t>
      </w:r>
      <w:r>
        <w:rPr>
          <w:rFonts w:ascii="Times New Roman" w:hAnsi="Times New Roman"/>
          <w:color w:val="000000"/>
          <w:sz w:val="12"/>
        </w:rPr>
        <w:t>$4.7 million</w:t>
      </w:r>
      <w:r>
        <w:rPr>
          <w:rFonts w:ascii="Times New Roman" w:hAnsi="Times New Roman"/>
          <w:color w:val="0000FF"/>
          <w:sz w:val="12"/>
        </w:rPr>
        <w:t xml:space="preserve"> </w:t>
      </w:r>
      <w:r>
        <w:rPr>
          <w:rFonts w:ascii="Times New Roman" w:hAnsi="Times New Roman"/>
          <w:color w:val="000000"/>
          <w:sz w:val="12"/>
        </w:rPr>
        <w:t>and $1.9 million for the six months ended July 31, 2026 and 2025, respectively.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Excludes depreciation and amortization.</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product development expense from related parties of nil and $0.6 million for the three months ended July 31, 2026 and 2025, respectively, and nil and $2.1 million for the six months ended July 31, 2026 and 2025, respectively.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(4)</w:t>
      </w:r>
    </w:p>
    <w:p>
      <w:pPr>
        <w:pStyle w:val="TextBody"/>
        <w:bidi w:val="0"/>
        <w:spacing w:before="0" w:after="0"/>
        <w:jc w:val="both"/>
        <w:rPr>
          <w:rFonts w:ascii="Times New Roman" w:hAnsi="Times New Roman"/>
          <w:sz w:val="12"/>
        </w:rPr>
      </w:pPr>
      <w:r>
        <w:rPr>
          <w:rFonts w:ascii="Times New Roman" w:hAnsi="Times New Roman"/>
          <w:color w:val="000000"/>
          <w:sz w:val="12"/>
        </w:rPr>
        <w:t>Includes sales and marketing expense from related parties of nil and $0.3 million for the three months ended July 31, 2026 and 2025, respectively, and</w:t>
      </w:r>
      <w:r>
        <w:rPr>
          <w:rFonts w:ascii="Times New Roman" w:hAnsi="Times New Roman"/>
          <w:color w:val="0000FF"/>
          <w:sz w:val="12"/>
        </w:rPr>
        <w:t xml:space="preserve"> </w:t>
      </w:r>
      <w:r>
        <w:rPr>
          <w:rFonts w:ascii="Times New Roman" w:hAnsi="Times New Roman"/>
          <w:color w:val="000000"/>
          <w:sz w:val="12"/>
        </w:rPr>
        <w:t xml:space="preserve">$0.1 million and $0.3 million for the six months ended July 31, 2026 and 2025, respectively.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 xml:space="preserve">Includes lease expense from related parties of $0.4 million and $0.3 million for the three months ended July 31, 2026 and 2025, respectively, and $0.7 million and $0.6 for the six months ended July 31, 2026 and 2025, respectively.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Includes general and administrative expense from related parties of $0.1 million and $0.1 million for the three months ended July 31, 2026 and 2025, respectively and $0.4 million and $0.3 million for the six months ended July 31, 2026 and 2025, respectively.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(7)</w:t>
      </w:r>
    </w:p>
    <w:p>
      <w:pPr>
        <w:pStyle w:val="TextBody"/>
        <w:bidi w:val="0"/>
        <w:jc w:val="both"/>
        <w:rPr>
          <w:rFonts w:ascii="Times New Roman" w:hAnsi="Times New Roman"/>
          <w:sz w:val="12"/>
        </w:rPr>
      </w:pPr>
      <w:r>
        <w:rPr>
          <w:rFonts w:ascii="Times New Roman" w:hAnsi="Times New Roman"/>
          <w:color w:val="000000"/>
          <w:sz w:val="12"/>
        </w:rPr>
        <w:t>Includes net charges from related parties of $0.2 million and $2.8 million for the three months ended July 31, 2026 and 2025, respectively and $0.5 million</w:t>
      </w:r>
      <w:r>
        <w:rPr>
          <w:rFonts w:ascii="Times New Roman" w:hAnsi="Times New Roman"/>
          <w:color w:val="0000FF"/>
          <w:sz w:val="12"/>
        </w:rPr>
        <w:t xml:space="preserve"> </w:t>
      </w:r>
      <w:r>
        <w:rPr>
          <w:rFonts w:ascii="Times New Roman" w:hAnsi="Times New Roman"/>
          <w:color w:val="000000"/>
          <w:sz w:val="12"/>
        </w:rPr>
        <w:t xml:space="preserve">and $5.3 million for the six months ended July 31, 2026 and 2025, respectively. </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Heading1"/>
        <w:bidi w:val="0"/>
        <w:jc w:val="center"/>
        <w:rPr>
          <w:rFonts w:ascii="Times New Roman" w:hAnsi="Times New Roman"/>
          <w:color w:val="000000"/>
          <w:sz w:val="20"/>
        </w:rPr>
      </w:pPr>
      <w:bookmarkStart w:id="6" w:name="condensed_consolidated_comp_loss"/>
      <w:bookmarkEnd w:id="6"/>
      <w:r>
        <w:rPr>
          <w:rFonts w:ascii="Times New Roman" w:hAnsi="Times New Roman"/>
          <w:color w:val="000000"/>
          <w:sz w:val="20"/>
        </w:rPr>
        <w:t>Condensed Consolidated Statements of Comprehensive Loss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0"/>
        <w:gridCol w:w="146"/>
        <w:gridCol w:w="196"/>
        <w:gridCol w:w="146"/>
        <w:gridCol w:w="661"/>
        <w:gridCol w:w="166"/>
        <w:gridCol w:w="146"/>
        <w:gridCol w:w="196"/>
        <w:gridCol w:w="146"/>
        <w:gridCol w:w="661"/>
        <w:gridCol w:w="166"/>
        <w:gridCol w:w="146"/>
        <w:gridCol w:w="196"/>
        <w:gridCol w:w="146"/>
        <w:gridCol w:w="661"/>
        <w:gridCol w:w="166"/>
        <w:gridCol w:w="146"/>
        <w:gridCol w:w="196"/>
        <w:gridCol w:w="146"/>
        <w:gridCol w:w="661"/>
        <w:gridCol w:w="311"/>
      </w:tblGrid>
      <w:tr>
        <w:trPr/>
        <w:tc>
          <w:tcPr>
            <w:tcW w:w="4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(71,058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comprehensive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stockholders and members of Gloo Holdings, Inc. and Gloo Holdings, LLC,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(69,489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Heading1"/>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Heading1"/>
        <w:bidi w:val="0"/>
        <w:jc w:val="center"/>
        <w:rPr>
          <w:rFonts w:ascii="Times New Roman" w:hAnsi="Times New Roman"/>
          <w:color w:val="000000"/>
          <w:sz w:val="20"/>
        </w:rPr>
      </w:pPr>
      <w:bookmarkStart w:id="7" w:name="condensed_consolidated_members_deficit"/>
      <w:bookmarkEnd w:id="7"/>
      <w:r>
        <w:rPr>
          <w:rFonts w:ascii="Times New Roman" w:hAnsi="Times New Roman"/>
          <w:color w:val="000000"/>
          <w:sz w:val="20"/>
        </w:rPr>
        <w:t>Condensed Consolidated Statements of Mezzanine Equity and Stockholders' Equity and Members’ Deficit</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center"/>
        <w:rPr/>
      </w:pPr>
      <w:r>
        <w:rPr/>
        <w:t> </w:t>
      </w:r>
    </w:p>
    <w:tbl>
      <w:tblPr>
        <w:tblW w:w="11530" w:type="dxa"/>
        <w:jc w:val="left"/>
        <w:tblInd w:w="0" w:type="dxa"/>
        <w:tblLayout w:type="fixed"/>
        <w:tblCellMar>
          <w:top w:w="28" w:type="dxa"/>
          <w:left w:w="28" w:type="dxa"/>
          <w:bottom w:w="28" w:type="dxa"/>
          <w:right w:w="28" w:type="dxa"/>
        </w:tblCellMar>
      </w:tblPr>
      <w:tblGrid>
        <w:gridCol w:w="826"/>
        <w:gridCol w:w="289"/>
        <w:gridCol w:w="582"/>
        <w:gridCol w:w="146"/>
        <w:gridCol w:w="146"/>
        <w:gridCol w:w="646"/>
        <w:gridCol w:w="146"/>
        <w:gridCol w:w="170"/>
        <w:gridCol w:w="356"/>
        <w:gridCol w:w="146"/>
        <w:gridCol w:w="146"/>
        <w:gridCol w:w="691"/>
        <w:gridCol w:w="151"/>
        <w:gridCol w:w="170"/>
        <w:gridCol w:w="356"/>
        <w:gridCol w:w="151"/>
        <w:gridCol w:w="146"/>
        <w:gridCol w:w="541"/>
        <w:gridCol w:w="151"/>
        <w:gridCol w:w="166"/>
        <w:gridCol w:w="421"/>
        <w:gridCol w:w="151"/>
        <w:gridCol w:w="166"/>
        <w:gridCol w:w="496"/>
        <w:gridCol w:w="146"/>
        <w:gridCol w:w="296"/>
        <w:gridCol w:w="620"/>
        <w:gridCol w:w="151"/>
        <w:gridCol w:w="204"/>
        <w:gridCol w:w="592"/>
        <w:gridCol w:w="151"/>
        <w:gridCol w:w="240"/>
        <w:gridCol w:w="631"/>
        <w:gridCol w:w="151"/>
        <w:gridCol w:w="199"/>
        <w:gridCol w:w="597"/>
        <w:gridCol w:w="196"/>
      </w:tblGrid>
      <w:tr>
        <w:trPr/>
        <w:tc>
          <w:tcPr>
            <w:tcW w:w="8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Mezzanine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91" w:type="dxa"/>
            <w:gridSpan w:val="3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 thousands, except share data)</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w:t>
              <w:b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31, 2026</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11,405,352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69,465,772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(298,835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154,123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options</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common stockholders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 (loss) attributable to noncontrolling interests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April 30, 2026</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11,405,352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69,465,772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(298,835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140,706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Class A common stock in connection with the follow on offering and partial greenshoe exercise, net of issuance costs</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7,853,787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Exchange of restricted stock units for Class A common stock</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Class A common stock due to acquisition</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1,536,198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Class B common stock to Class A common stock</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17,671,267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(17,671,267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options</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common stockholders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 attributable to noncontrolling interests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July 31, 2026</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38,541,604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51,816,158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(298,835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155,823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06"/>
        <w:gridCol w:w="146"/>
        <w:gridCol w:w="646"/>
        <w:gridCol w:w="151"/>
        <w:gridCol w:w="166"/>
        <w:gridCol w:w="496"/>
        <w:gridCol w:w="151"/>
        <w:gridCol w:w="266"/>
        <w:gridCol w:w="605"/>
        <w:gridCol w:w="151"/>
        <w:gridCol w:w="146"/>
        <w:gridCol w:w="586"/>
        <w:gridCol w:w="146"/>
        <w:gridCol w:w="170"/>
        <w:gridCol w:w="356"/>
        <w:gridCol w:w="146"/>
        <w:gridCol w:w="173"/>
        <w:gridCol w:w="458"/>
        <w:gridCol w:w="146"/>
        <w:gridCol w:w="306"/>
        <w:gridCol w:w="643"/>
        <w:gridCol w:w="151"/>
        <w:gridCol w:w="186"/>
        <w:gridCol w:w="610"/>
        <w:gridCol w:w="151"/>
        <w:gridCol w:w="240"/>
        <w:gridCol w:w="631"/>
        <w:gridCol w:w="151"/>
        <w:gridCol w:w="170"/>
        <w:gridCol w:w="556"/>
        <w:gridCol w:w="199"/>
      </w:tblGrid>
      <w:tr>
        <w:trPr/>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Mezzanine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2"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Members’ 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 Preferred 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 thousands, except unit data)</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w:t>
              <w:br/>
              <w:t>Comprehensive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Members’</w:t>
              <w:br/>
              <w:t>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37,532,207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(337,995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A Preferred Units in connection with acquisitions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387,015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Barna Units Put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 of Series A Preferred Units in connection with the Servant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A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common unit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members of Gloo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April 30,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37,929,837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356,621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8,217,024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(394,714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(354,074</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A Preferred Units in connection with acquisitions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A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Member Advances received, net of amounts refunded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members of Gloo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(43,349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July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38,178,381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360,063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8,217,024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(438,063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(382,245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TextBody"/>
        <w:bidi w:val="0"/>
        <w:jc w:val="center"/>
        <w:rPr>
          <w:rFonts w:ascii="Times New Roman" w:hAnsi="Times New Roman"/>
          <w:b/>
          <w:color w:val="000000"/>
          <w:sz w:val="20"/>
        </w:rPr>
      </w:pPr>
      <w:bookmarkStart w:id="8" w:name="condensed_consolidated_soc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86"/>
        <w:gridCol w:w="181"/>
        <w:gridCol w:w="146"/>
        <w:gridCol w:w="556"/>
        <w:gridCol w:w="151"/>
        <w:gridCol w:w="146"/>
        <w:gridCol w:w="181"/>
        <w:gridCol w:w="146"/>
        <w:gridCol w:w="556"/>
        <w:gridCol w:w="356"/>
      </w:tblGrid>
      <w:tr>
        <w:trPr/>
        <w:tc>
          <w:tcPr>
            <w:tcW w:w="77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(in thousands)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activities: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(71,058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attributable to common stockholders and members to net cash used in</w:t>
              <w:br/>
              <w:t>operating activities: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Equity-based compensation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Depreciation and amortization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Amortization of deferred financing costs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Provision for expected credit losses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Lease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Deferred income taxes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(Gain) loss from change in fair value of financial instruments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Loss from equity method investments, net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Loss on extinguishment of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Loss on sale/disposal of PPE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Inventory reserve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Abandonment of capital software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Debt assumed through PIK interest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Changes in operating assets and liabilities, net of acquisitions: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non-current assets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 and other current liabilities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non-current liabilities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used in operating activities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(44,226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Investing activities: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Purchases of property and equipment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Capitalized internal-use software costs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Purchase of investments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Acquisitions, net of cash acquired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used in investing activities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(10,732</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Financing activities: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Payments on debt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Payments of deferred financing costs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Payment of acquisition related liabilities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exercise of common stock and common unit options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Member Advances received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Series A Preferred Units issuance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issuance of Class A common stock upon follow on offering, net of underwriting discounts and commissions and other offering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provided by financing activities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64,217</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Effect of exchange rate changes on cash and cash equivalents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decrease in cash, cash equivalents and restricted cash</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8,999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Beginning of period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13,844</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End of period</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22,843</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 of cash flow information: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Cash paid for taxes, net of refunds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non-cash investing and financing activity:</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accounts receivable to investments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Modification of operating leases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ROU assets obtained in acquisitions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ROU assets obtained in exchange for new lease liabilities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TextBody"/>
        <w:bidi w:val="0"/>
        <w:jc w:val="center"/>
        <w:rPr>
          <w:rFonts w:ascii="Times New Roman" w:hAnsi="Times New Roman"/>
          <w:color w:val="000000"/>
          <w:sz w:val="20"/>
        </w:rPr>
      </w:pPr>
      <w:bookmarkStart w:id="9" w:name="notes_condensed_consol_fs"/>
      <w:bookmarkEnd w:id="9"/>
      <w:r>
        <w:rPr>
          <w:rFonts w:ascii="Times New Roman" w:hAnsi="Times New Roman"/>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Gloo Holdings, Inc., together with its consolidated subsidiaries (“Gloo” or the “Company”), provides a breadth of products, services, and solutions to the two interconnected groups at the center of the faith and flourishing ecosystem: churches and frontline organizations (CFLs), which serve communities directly, and network capability providers (NCPs), which equip the CFLs with the tools, resources and infrastructure they need to succeed. The Company’s strategy is to build the core technology infrastructure that enables CFLs and NCPs to operate more effectively, reach more people, increase their impact and facilitate more efficient exchange across the ecosystem through two core and reinforcing platform capabilities: Powering Tech and Powering Reach. By Powering Tech we help our customers modernize their technology systems, data and workflows through a trusted, AI-enabled technology platform. By Powering Reach we help our customers expand awareness, deepen engagement and increase donor support through differentiated media, marketing, fundraising and data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platform strategy is underpinned by its growing leadership in Applied AI for the faith and flourishing ecosystem. The Company is leveraging advances in agentic AI, foundational models and services from leading AI providers, and innovations developed across its platform to apply AI to the real operations and mission-critical activities of churches, ministries and nonprofits.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Gloo platform serves as a digital infrastructure between NCPs and CFLs. By facilitating efficient exchange between the two, Gloo enables both sides to succeed; CFLs gain access to better resources and NCPs benefit from efficient distribution and targeted reach. This creates a virtuous cycle, strengthening the platform with each interaction. The Gloo platform includes a suite of technology, marketplace, and service solutions offered directly from Gloo or from Gloo’s consolidated subsidiaries and equity method investments (“Gloo Capital Partners”).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Restructuring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July 31, 2026, management approved and initiated a strategic restructuring plan designed to streamline operations and reduce operating costs and cost of revenue. The plan involved a reduction in headcount affecting multiple departments, including Gloo 360, AI, and sales and marketing, as well as the termination of a vendor contract. In connection with the restructuring plan, the Company recorded total pre-tax restructuring charges of $4.4 million during the three months ended July 31, 2026, consisting primarily of severance and related employee benefits and a $1.0 million contract termination fee. Restructuring charges for the six months ended July 31, 2026 were $4.4 million, which includes an immaterial amount related to actions initiated prior to the current plan. These charges are reflected within the Condensed Consolidated Statements of Operations as follows: $1.9 million in sales and marketing, $1.5 million in product development, $0.8 million in general and administrative, and $0.2 million in cost of revenue. The Company does not expect to incur material additional charges under this plan. The contract termination fee was paid in full during the quarter ended July 31, 2026, and no further obligation remains. As of July 31, 2026, $2.3 million of accrued severance and related benefits remained outstanding within accrued compensation on the Condensed Consolidated Balance Sheet. The components of the restructuring charges are as follows:</w:t>
      </w:r>
    </w:p>
    <w:p>
      <w:pPr>
        <w:pStyle w:val="TextBody"/>
        <w:bidi w:val="0"/>
        <w:spacing w:before="240" w:after="283"/>
        <w:jc w:val="both"/>
        <w:rPr/>
      </w:pPr>
      <w:r>
        <w:rPr/>
        <w:t> </w:t>
      </w:r>
    </w:p>
    <w:tbl>
      <w:tblPr>
        <w:tblW w:w="7468" w:type="dxa"/>
        <w:jc w:val="left"/>
        <w:tblInd w:w="0" w:type="dxa"/>
        <w:tblLayout w:type="fixed"/>
        <w:tblCellMar>
          <w:top w:w="28" w:type="dxa"/>
          <w:left w:w="28" w:type="dxa"/>
          <w:bottom w:w="28" w:type="dxa"/>
          <w:right w:w="28" w:type="dxa"/>
        </w:tblCellMar>
      </w:tblPr>
      <w:tblGrid>
        <w:gridCol w:w="3001"/>
        <w:gridCol w:w="146"/>
        <w:gridCol w:w="475"/>
        <w:gridCol w:w="354"/>
        <w:gridCol w:w="1240"/>
        <w:gridCol w:w="146"/>
        <w:gridCol w:w="146"/>
        <w:gridCol w:w="406"/>
        <w:gridCol w:w="303"/>
        <w:gridCol w:w="1060"/>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Severance and Cash Termination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Associated 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the Company has incurred cumulative losses from operations. The Company has funded its operations and capital needs primarily through equity and debt financings and revenue generated from operations. The Company held cash and cash equivalents of $39.3 million and had an accumulated deficit of $78.3 million as of July 31, 2026. Additionally, the Company incurred a net loss of $38.2 million and used $28.0 million of cash in operating activities for the six months ended July 31, 2026. The Company’s plans include generating revenue through subscriptions of its expanding technology and AI offerings, increased marketplace offerings and growing advertising services, as well as seeking external sources of liquidity. If adequate funds are not available, the Company will need to raise additional funds to meet its long-term strategic plans. Management believes it will be able to obtain additional capital to fund its operations; however, there are no assurances that the Company will be able to raise additional capital on terms acceptable to the Company or at all. If such plans are not implemented on a timely basis, management may delay or modify the Company’s business plans, potentially including the timing of planned capital expenditures, development and other planned activities, all of which, individually or in the aggregate, could have material negative consequences to the Company and its financial condition, results of operations and business relationships.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preparation of these condensed consolidated financial statements, management evaluated conditions and events known and reasonably knowable that could adversely affect the Company’s ability to meet its obligations through one year from the date the condensed consolidated financial statements are issued. Management’s assessment considered the Company’s current financial condition, characterized by recurring operating losses, negative cash flows, limited liquid resources, and dependence on external financing, as well as the funds required to execute its business plan over the evaluation period. Based on these factors, the Company has concluded there is substantial doubt about its ability to continue as a going concern for at least twelve months from the date the condensed consolidated financial statements are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condensed consolidated financial statements have been prepared on a basis that assumes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include the accounts of Gloo Holdings, Inc, its wholly-owned subsidiaries, less-than-wholly-owned subsidiaries in which the Company holds a controlling financial interest, and variable interest entities (“VIEs”) for which the Company has determined it is the primary beneficiary. The Company has prepared the unaudited condensed consolidated financial statements in accordance with accounting principles generally accepted in the United States of America (“U.S. GAAP”) for interim financial information. Certain information and disclosures normally included in consolidated annual financial statements prepared in accordance with GAAP have been condensed or omitted. Accordingly, these condensed consolidated financial statements should be read in conjunction with the Company’s audited consolidated financial statements as of and for the year ended January 31, 2026, and the related notes. Its unaudited interim condensed consolidated financial statements include, in the opinion of management, all adjustments, consisting of normal and recurring items, necessary for the fair presentation of the condensed consolidated financial statements. All material intercompany accounts and transactions have been eliminated in consolidation. The interests of the minority owners in less-than-wholly-owned subsidiaries are accounted for as non-controlling interests.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U.S. GAAP requires management to make estimates and assumptions that affect certain amounts reported in the condensed consolidated financial statements and accompanying notes. Estimates are based on historical and anticipated results and trends, and on various other assumptions the Company believes are reasonable under the circumstances, including assumptions as to future events. Management evaluates these estimates, judgments and assumptions on an ongoing basis. Changes in estimates are recorded in the period in which they become known. Actual results could differ from those estimates, and any such differences may be material to the Company’s condensed consolidated financial statements. Significant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estimates reflected in the condensed consolidated financial statements include revenue recognition, including the stand-alone selling prices for each distinct performance obligation; internal-use software development costs; the useful lives of long-lived assets; the net realizable value of inventory; the reserve for expected credit losses; income taxes; equity-based compensation; the valuation of the Company’s common membership units, equity awards and other financial instruments; the fair value of assets and noncontrolling interest acquired and liabilities assumed in business combinations; valuation of consideration transferred in business combinations; the fair value of the call option associated with the Midwestern Interactive, LLC (“Midwestern”) acquisition; the incremental borrowing rate used to determine operating lease right-of-use assets and lease liabilities; the fair value of derivative and warrant liabilities; and legal and other loss contingencies.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an emerging growth company (“EGC”) as defined in the Jumpstart Our Business Startups Act of 2012, as amended (the “JOBS Act”). Under the JOBS Act, emerging growth companies can delay adopting new or revised accounting standards issued subsequent to the enactment of the JOBS Act, until such time when those standards apply to privately-held companies. The Company has elected to use the extended transition period under the JOBS Act for the adoption of certain accounting standards until the earlier of the date the Company (1) is no longer an emerging growth company or (2) affirmatively and irrevocably opts out of the extended transition period provided in the JOBS Act. As a result, the condensed consolidated financial statements of the Company may not be comparable to companies that comply with new or revised accounting pronouncements as of public company effective dates.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 and Restricted Cash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as presented in the condensed consolidated balance sheets to the total amount shown in the condensed consolidated statements of cash flows:</w:t>
      </w:r>
    </w:p>
    <w:p>
      <w:pPr>
        <w:pStyle w:val="TextBody"/>
        <w:bidi w:val="0"/>
        <w:jc w:val="left"/>
        <w:rPr/>
      </w:pPr>
      <w:r>
        <w:rPr/>
        <w:t> </w:t>
      </w:r>
    </w:p>
    <w:tbl>
      <w:tblPr>
        <w:tblW w:w="6843" w:type="dxa"/>
        <w:jc w:val="left"/>
        <w:tblInd w:w="0" w:type="dxa"/>
        <w:tblLayout w:type="fixed"/>
        <w:tblCellMar>
          <w:top w:w="28" w:type="dxa"/>
          <w:left w:w="28" w:type="dxa"/>
          <w:bottom w:w="28" w:type="dxa"/>
          <w:right w:w="28" w:type="dxa"/>
        </w:tblCellMar>
      </w:tblPr>
      <w:tblGrid>
        <w:gridCol w:w="3406"/>
        <w:gridCol w:w="146"/>
        <w:gridCol w:w="146"/>
        <w:gridCol w:w="146"/>
        <w:gridCol w:w="146"/>
        <w:gridCol w:w="146"/>
        <w:gridCol w:w="146"/>
        <w:gridCol w:w="146"/>
        <w:gridCol w:w="196"/>
        <w:gridCol w:w="146"/>
        <w:gridCol w:w="601"/>
        <w:gridCol w:w="146"/>
        <w:gridCol w:w="146"/>
        <w:gridCol w:w="205"/>
        <w:gridCol w:w="153"/>
        <w:gridCol w:w="631"/>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evaluates all Accounting Standards Updates (“ASUs”) issued by the Financial Accounting Standards Board (“FASB”) for applicability. ASUs not included in the disclosures in this report were assessed and determined to be either not applicable or not expected to have a material impact to the condensed consolidated financial statements.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240" w:after="283"/>
        <w:jc w:val="both"/>
        <w:rPr>
          <w:rFonts w:ascii="Times New Roman" w:hAnsi="Times New Roman"/>
          <w:sz w:val="19"/>
        </w:rPr>
      </w:pPr>
      <w:r>
        <w:rPr>
          <w:rFonts w:ascii="Times New Roman" w:hAnsi="Times New Roman"/>
          <w:color w:val="000000"/>
          <w:sz w:val="20"/>
        </w:rPr>
        <w:t xml:space="preserve">In December 2025, the FASB issued </w:t>
      </w:r>
      <w:r>
        <w:rPr>
          <w:rFonts w:ascii="Times New Roman" w:hAnsi="Times New Roman"/>
          <w:i/>
          <w:color w:val="000000"/>
          <w:sz w:val="20"/>
        </w:rPr>
        <w:t>ASU 2025-12</w:t>
      </w:r>
      <w:r>
        <w:rPr>
          <w:rFonts w:ascii="Times New Roman" w:hAnsi="Times New Roman"/>
          <w:color w:val="000000"/>
          <w:sz w:val="20"/>
        </w:rPr>
        <w:t>, “</w:t>
      </w:r>
      <w:r>
        <w:rPr>
          <w:rFonts w:ascii="Times New Roman" w:hAnsi="Times New Roman"/>
          <w:i/>
          <w:color w:val="000000"/>
          <w:sz w:val="20"/>
        </w:rPr>
        <w:t>Codification Improvements</w:t>
      </w:r>
      <w:r>
        <w:rPr>
          <w:rFonts w:ascii="Times New Roman" w:hAnsi="Times New Roman"/>
          <w:color w:val="000000"/>
          <w:sz w:val="20"/>
        </w:rPr>
        <w:t xml:space="preserve">.” The amendments in this ASU enhance the codification by clarifying, correcting, and making minor improvements to guidance for easier application for companies. The amendments in this ASU include 33 revisions and are varied in nature. </w:t>
      </w:r>
      <w:r>
        <w:rPr>
          <w:rFonts w:ascii="Times New Roman" w:hAnsi="Times New Roman"/>
          <w:color w:val="000000"/>
          <w:sz w:val="19"/>
        </w:rPr>
        <w:t xml:space="preserve">Entities are required to apply the amendments to </w:t>
      </w:r>
      <w:r>
        <w:rPr>
          <w:rFonts w:ascii="Times New Roman" w:hAnsi="Times New Roman"/>
          <w:i/>
          <w:color w:val="000000"/>
          <w:sz w:val="19"/>
        </w:rPr>
        <w:t>ASC 260, Earnings per Share</w:t>
      </w:r>
      <w:r>
        <w:rPr>
          <w:rFonts w:ascii="Times New Roman" w:hAnsi="Times New Roman"/>
          <w:color w:val="000000"/>
          <w:sz w:val="19"/>
        </w:rPr>
        <w:t xml:space="preserve">, retrospectively. All other amendments may be applied prospectively or retrospectively. </w:t>
      </w:r>
      <w:r>
        <w:rPr>
          <w:rFonts w:ascii="Times New Roman" w:hAnsi="Times New Roman"/>
          <w:color w:val="000000"/>
          <w:sz w:val="20"/>
        </w:rPr>
        <w:t>The amendments in this ASU are required to be adopted for interim periods within annual reporting periods beginning after December 15, 2026. Early adoption is permitted. The Company is currently evaluating the impact of this guidance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2025-11</w:t>
      </w:r>
      <w:r>
        <w:rPr>
          <w:rFonts w:ascii="Times New Roman" w:hAnsi="Times New Roman"/>
          <w:color w:val="000000"/>
          <w:sz w:val="20"/>
        </w:rPr>
        <w:t>, “</w:t>
      </w:r>
      <w:r>
        <w:rPr>
          <w:rFonts w:ascii="Times New Roman" w:hAnsi="Times New Roman"/>
          <w:i/>
          <w:color w:val="000000"/>
          <w:sz w:val="20"/>
        </w:rPr>
        <w:t>Interim Reporting (Topic 270) Narrow-Scope Improvements.</w:t>
      </w:r>
      <w:r>
        <w:rPr>
          <w:rFonts w:ascii="Times New Roman" w:hAnsi="Times New Roman"/>
          <w:color w:val="000000"/>
          <w:sz w:val="20"/>
        </w:rPr>
        <w:t xml:space="preserve">”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within annual reporting periods beginning after December 15, 2027. Early adoption is permitted. The Company is currently evaluating the impact of this guidance on its condensed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w:t>
      </w:r>
      <w:r>
        <w:rPr>
          <w:rFonts w:ascii="Times New Roman" w:hAnsi="Times New Roman"/>
          <w:color w:val="000000"/>
          <w:sz w:val="20"/>
        </w:rPr>
        <w:t xml:space="preserve">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which modernizes the accounting for internal-use software costs. The ASU eliminates all references to prescriptive and sequential software developmental stages, establishes a probable-to-complete threshold for commencing capitalization, incorporates website development guidance into Subtopic 350-40 and requires enhanced disclosures for capitalized internal-use software costs. The amendments do not change the existing criteria for which costs are eligible for capitalization or the point at which capitalization ceases. This guidance is effective for annual periods beginning after December 15, 2027, and interim periods within those fiscal years. Early adoption is permitted. The Company is currently evaluating the impact of this guidance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w:t>
      </w:r>
      <w:r>
        <w:rPr>
          <w:rFonts w:ascii="Times New Roman" w:hAnsi="Times New Roman"/>
          <w:color w:val="000000"/>
          <w:sz w:val="20"/>
        </w:rPr>
        <w:t xml:space="preserve">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which requires disclosure of additional information about specific expense categories underlying certain income statement expense line items. The standard is effective for all entities with annual periods beginning after December 15, 2026, and interim reporting periods beginning after December 15, 2027. Early adoption is permitted. The Company is currently evaluating the impact of this accounting standard update on its consolidated financial statements and related disclosures.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our significant accounting policies described in the Company’s Annual Report on Form 10-K for the year ended January 31, 2026, filed with the Securities and Exchange Commission (“SEC”) on April 15,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Variable Interest Entities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Consolidated VIEs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Visitor Reach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2025, the Company acquired a majority ownership interest of approximately 51.2% in Visitor Reach with the objective of enhancing digital outreach for churches by combining Visitor Reach’s AI-driven local marketing capabilities with the Company’s data intelligence and technology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Visitor Reach was determined to be a VIE because it lacks sufficient equity at risk to finance its operations without future subordinated financial support. The Company determined that it was the primary beneficiary of Visitor Reach because it has the power to direct activities that most significantly impact the entity’s economic performance and an obligation to absorb losses of the entity through its majority ownership interest, and therefore consolidated Visitor Reach as of January 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acquisition of Visitor Reach, the Company entered into call option agreements (the “VR Call Options”) with three minority stockholders of Visitor Reach (the “VR Option Holders”) in exchange for future post-combination services. These options were treated as separate from the business combination due to the post-combination service condition.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VR Call Options are independently exercisable and grant the VR Option Holders the right to collectively repurchase up to 332 units, or 16.0% of Visitor Reach’s total equity, from the units currently owned by the Company. In the event all holders exercise their full options, the Company would retain approximately 35.22% of Visitor Reach’s outstanding units, which could result in a deconsolidation event if the Company determined it would no longer have a controlling financial interest in Visitor Reach. The VR Call Options become exercisable on the third anniversary of the acquisition and expire 12 months thereafter, subject to forfeiture if the service-based vesting condition is not met. The exercise price of the VR Call Options is fixed at $1,506 per unit, and is payable in cash or through a promissory note. These options are equity-classified stock awards.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has determined that it holds the power to direct the activities that most significantly impact Visitor Reach’s economic performance while the VR Call Options remain outstanding and are not yet exercisable. However, the Company will reassess whether it remains the primary beneficiary of the VIE when the VR Call Options become exercisable in December 2027. As of July 31, 2026, the Company continues to hold the majority of issued and outstanding equity units of Visitor Reach and reports a non-controlling interest. See </w:t>
      </w:r>
      <w:r>
        <w:rPr>
          <w:rFonts w:ascii="Times New Roman" w:hAnsi="Times New Roman"/>
          <w:i/>
          <w:color w:val="000000"/>
          <w:sz w:val="20"/>
        </w:rPr>
        <w:t>Note 2,</w:t>
      </w:r>
      <w:r>
        <w:rPr>
          <w:rFonts w:ascii="Times New Roman" w:hAnsi="Times New Roman"/>
          <w:color w:val="000000"/>
          <w:sz w:val="20"/>
        </w:rPr>
        <w:t xml:space="preserve"> </w:t>
      </w:r>
      <w:r>
        <w:rPr>
          <w:rFonts w:ascii="Times New Roman" w:hAnsi="Times New Roman"/>
          <w:i/>
          <w:color w:val="000000"/>
          <w:sz w:val="20"/>
        </w:rPr>
        <w:t>Summary of Significant Accounting Policies,</w:t>
      </w:r>
      <w:r>
        <w:rPr>
          <w:rFonts w:ascii="Times New Roman" w:hAnsi="Times New Roman"/>
          <w:color w:val="000000"/>
          <w:sz w:val="20"/>
        </w:rPr>
        <w:t xml:space="preserve"> in the Company’s Annual Report on Form 10-K for the year ended January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Visitor Reach had total assets and total liabilities included on the consolidated balance sheet of $10.1 million and $1.8 million, respectively, and $9.9 million and $1.2 million, respectively, as of January 31, 2026. Visitor Reach’s assets consisted primarily of capitalized software and goodwill.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Barna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2025, the Company acquired 49.0% of the equity ownership of Barna Holdings LLC (“Barna”), and a majority voting interest in Barna, to build on prior collaborations and expand the Company’s offerings. Barna is a research and strategy consulting firm specializing in church engagement, leadership development, cultural analysis, and generational insights.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Barna was determined to be a VIE because it lacks sufficient equity at risk to finance its operations without future subordinated financial support. The Company determined that it was the primary beneficiary of Barna because it has the power to direct activities that most significantly impact the entity’s economic performance, primarily the research, development, sale, and marketing of Barna’s faith-based content. The Company also has an obligation to absorb losses of the entity through its equity ownership interest. Accordingly, the Company consolidated Barna as of February 18, 2025. The Company holds an additional variable interest in Barna through a revenue sharing arrangement on co-developed content, including the Barna Access Plus platform.</w:t>
      </w:r>
    </w:p>
    <w:p>
      <w:pPr>
        <w:pStyle w:val="TextBody"/>
        <w:bidi w:val="0"/>
        <w:spacing w:before="240" w:after="283"/>
        <w:jc w:val="both"/>
        <w:rPr>
          <w:rFonts w:ascii="Times New Roman" w:hAnsi="Times New Roman"/>
          <w:sz w:val="20"/>
        </w:rPr>
      </w:pPr>
      <w:r>
        <w:rPr>
          <w:rFonts w:ascii="Times New Roman" w:hAnsi="Times New Roman"/>
          <w:color w:val="000000"/>
          <w:sz w:val="20"/>
        </w:rPr>
        <w:t>Barna is financed primarily through related-party debt and capital contributions from the Company. At the acquisition date, the Company provided $1.3 million of new capital, most of which was used to repay outstanding loans, resulting in limited liquidity. Barna’s creditors do not</w:t>
      </w:r>
      <w:r>
        <w:rPr>
          <w:rFonts w:ascii="Times New Roman" w:hAnsi="Times New Roman"/>
          <w:color w:val="FF0000"/>
          <w:sz w:val="20"/>
        </w:rPr>
        <w:t xml:space="preserve"> </w:t>
      </w:r>
      <w:r>
        <w:rPr>
          <w:rFonts w:ascii="Times New Roman" w:hAnsi="Times New Roman"/>
          <w:color w:val="000000"/>
          <w:sz w:val="20"/>
        </w:rPr>
        <w:t>have recourse to the general credit of the Company as part of its outstanding debt agreements, as the Company does not guarantee any of Barna’s debt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conjunction with the acquisition, the Company entered into a $2.0 million commercial services agreement with Barna, committing to purchasing $1.0 million in services from Barna for the first two years following the acquisition with the intent that the companies would continue their existing commercial relationships in substantially the same manner as conducted prior to the acquisition.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Additionally, in connection with the acquisition of Barna, the Company entered into an amended and restated limited liability company agreement that included a put option (the “Barna Units Put Option”) given to the noncontrolling stockholder of Barna. This option provides the stockholder the right, but not the obligation, to cause Gloo to purchase all, but not less than all, equity ownership held in Barna by the noncontrolling stockholder at fair market value. This option is nontransferable and is exercisable within a 30-day window following either (i) the termination of Barna’s CEO, who is the majority owner of Barna’s noncontrolling stockholder, without cause, or (ii) his voluntary resignation for reasons specified in his employment agreement. The option was assigned negligible value, and the Company has classified this ownership interest as a redeemable non-controlling interest. For further detail, refer to </w:t>
      </w:r>
      <w:r>
        <w:rPr>
          <w:rFonts w:ascii="Times New Roman" w:hAnsi="Times New Roman"/>
          <w:i/>
          <w:color w:val="000000"/>
          <w:sz w:val="20"/>
        </w:rPr>
        <w:t>Redeemable Non-Controlling Interest in Consolidated VIEs</w:t>
      </w:r>
      <w:r>
        <w:rPr>
          <w:rFonts w:ascii="Times New Roman" w:hAnsi="Times New Roman"/>
          <w:color w:val="000000"/>
          <w:sz w:val="20"/>
        </w:rPr>
        <w:t>, below.</w:t>
      </w:r>
    </w:p>
    <w:p>
      <w:pPr>
        <w:pStyle w:val="TextBody"/>
        <w:bidi w:val="0"/>
        <w:spacing w:before="240" w:after="283"/>
        <w:jc w:val="both"/>
        <w:rPr>
          <w:rFonts w:ascii="Times New Roman" w:hAnsi="Times New Roman"/>
          <w:sz w:val="20"/>
        </w:rPr>
      </w:pPr>
      <w:r>
        <w:rPr>
          <w:rFonts w:ascii="Times New Roman" w:hAnsi="Times New Roman"/>
          <w:color w:val="000000"/>
          <w:sz w:val="20"/>
        </w:rPr>
        <w:t>Total assets and liabilities included on the consolidated balance sheet for Barna were $10.4 million and $1.7 million as of July 31, 2026</w:t>
      </w:r>
      <w:r>
        <w:rPr>
          <w:rFonts w:ascii="Times New Roman" w:hAnsi="Times New Roman"/>
          <w:color w:val="0000FF"/>
          <w:sz w:val="20"/>
        </w:rPr>
        <w:t>,</w:t>
      </w:r>
      <w:r>
        <w:rPr>
          <w:rFonts w:ascii="Times New Roman" w:hAnsi="Times New Roman"/>
          <w:color w:val="000000"/>
          <w:sz w:val="20"/>
        </w:rPr>
        <w:t xml:space="preserve"> respectively, and $10.3 million and $2.1 million as of January 31, 2026, respectively. Barna’s assets consisted primarily of intangible assets related to customer relationships, trademarks, and goodwill, further supporting the fact that Barna requires ongoing assistance from the Company to finance its operations and support its existing obligations.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Redeemable Non-Controlling Interest in VIEs - Barna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 of the redeemable non-controlling interest in Barna may elect to cause the Company to purchase its ownership interests at fair market value during a 30-day window immediately following either (i) the termination of Barna’s CEO, who is the majority owner of Barna’s noncontrolling stockholder, without cause, or (ii) his voluntary resignation for reasons specified in his employment agreement. Because the redemption feature is not solely within the control of the Company, this ownership interest is classified as a redeemable non-controlling interest in a consolidated VIE within mezzanine equity on the accompanying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Subsequent adjustment of the amount presented in temporary equity is currently not required because it was not probable that the instrument will become redeemable. If and when the redemption becomes probable, the Company will record adjustments to bring the carrying value to redemption value. Adjustments of redeemable non-controlling interest to its redemption value are recorded through additional paid-in capital. Total redeemable non-controlling interest was $3.8 million and $3.6 million as of July 31, 2026 and January 31, 2026, respectively. Net income attributable to redeemable non-controlling interest was $0.1 million and $0.2 million for the three and six months ended July 31, 2026, respectively, compared to net loss attributable to redeemable non-controlling interest of $0.2 million and $0.4 million for the three and six months ended July 31,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Sermons Tech</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Prior to the Sermons Tech Acquisition as described in </w:t>
      </w:r>
      <w:r>
        <w:rPr>
          <w:rFonts w:ascii="Times New Roman" w:hAnsi="Times New Roman"/>
          <w:i/>
          <w:color w:val="000000"/>
          <w:sz w:val="20"/>
        </w:rPr>
        <w:t xml:space="preserve">Note 4, Business Combinations </w:t>
      </w:r>
      <w:r>
        <w:rPr>
          <w:rFonts w:ascii="Times New Roman" w:hAnsi="Times New Roman"/>
          <w:color w:val="000000"/>
          <w:sz w:val="20"/>
        </w:rPr>
        <w:t xml:space="preserve">in its Annual Report on Form 10-K for the year ended January 31, 2026, the Company accounted for its investment in Sermons Tech, LLC (“Sermons Tech”) under the equity method of accounting, as it determined it had significant influence over Sermons Tech’s financial and operating policies. However, the Company did not have the power to direct the activities that most significantly impact Sermons Tech’s economic performance; therefore, the Company was not the primary beneficiary of the entity prior to the date of acquisition.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August 1, 2025, the Company entered into a Unit Purchase Agreement to acquire an additional 56.8% equity interest in Sermons Tech, increasing its ownership to 100%. The acquisition constituted a reconsideration event under </w:t>
      </w:r>
      <w:r>
        <w:rPr>
          <w:rFonts w:ascii="Times New Roman" w:hAnsi="Times New Roman"/>
          <w:i/>
          <w:color w:val="000000"/>
          <w:sz w:val="20"/>
        </w:rPr>
        <w:t>ASC 810</w:t>
      </w:r>
      <w:r>
        <w:rPr>
          <w:rFonts w:ascii="Times New Roman" w:hAnsi="Times New Roman"/>
          <w:color w:val="000000"/>
          <w:sz w:val="20"/>
        </w:rPr>
        <w:t xml:space="preserve"> that required the Company to reassess whether Sermons Tech continued to meet the definition of a VIE. Upon completion of this reassessment, the Company concluded that Sermons Tech continued to qualify as VIE as it does not have sufficient equity at risk to finance its activities without additional subordinated financial support. Additionally, during this reassessment it was concluded that the Company is the primary beneficiary and should consolidate Sermons Tech as the Company holds all of the voting equity interests in Sermons Tech, has the power to direct its most significant activities, and is obligated to absorb its losses. There are no restrictions on the Company’s ability to access or use Sermons Tech’s assets or to settle its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that it is impracticable to reasonably determine Sermons Tech’s stand-alone balance sheet amounts as of July 31, 2026, and its revenues and net income since the acquisition date due to the integration of general corporate functions upon acquisition. Refer to the Company’s Annual Report on Form 10-K for the year ended January 31, 2026, for additional information.</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4, Business Combinations,</w:t>
      </w:r>
      <w:r>
        <w:rPr>
          <w:rFonts w:ascii="Times New Roman" w:hAnsi="Times New Roman"/>
          <w:color w:val="000000"/>
          <w:sz w:val="20"/>
        </w:rPr>
        <w:t xml:space="preserve"> to the audited consolidated financial statements in the Company's Annual Report on Form 10-K for the year ended January 31,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EMD Acquisition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12, 2026, the Company entered into an asset purchase agreement with WDMarketdesk, LLC (“EMD” and the transaction, the “EMD Acquisition”) to purchase substantially all of the assets and assume certain liabilities of EMD. The EMD Acquisition closed on May 1,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EMD is a Workday Services Partner that helps organizations implement and optimize Workday through advisory and consulting services. The acquisition is expected to enhance the Company’s Gloo 360 portfolio by expanding its capabilities in enterprise technology enablement, operational efficiency, and data-driven decision-making. By helping to modernize work for customers through forward-deployed engineering and agentic AI, the Company expects to deliver better outcomes for its customers.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contractual purchase price of $17.3 million, which is still subject to net working capital adjustments, was adjusted to the acquisition date fair value of $16.8 million, with the difference pertaining to an adjustment to the closing date fair value of equity consideration. The as-adjusted purchase price consisted of the following:</w:t>
      </w:r>
    </w:p>
    <w:p>
      <w:pPr>
        <w:pStyle w:val="TextBody"/>
        <w:bidi w:val="0"/>
        <w:jc w:val="both"/>
        <w:rPr/>
      </w:pPr>
      <w:r>
        <w:rPr/>
        <w:t> </w:t>
      </w:r>
    </w:p>
    <w:tbl>
      <w:tblPr>
        <w:tblW w:w="5162" w:type="dxa"/>
        <w:jc w:val="left"/>
        <w:tblInd w:w="0" w:type="dxa"/>
        <w:tblLayout w:type="fixed"/>
        <w:tblCellMar>
          <w:top w:w="28" w:type="dxa"/>
          <w:left w:w="28" w:type="dxa"/>
          <w:bottom w:w="28" w:type="dxa"/>
          <w:right w:w="28" w:type="dxa"/>
        </w:tblCellMar>
      </w:tblPr>
      <w:tblGrid>
        <w:gridCol w:w="3221"/>
        <w:gridCol w:w="343"/>
        <w:gridCol w:w="255"/>
        <w:gridCol w:w="1052"/>
        <w:gridCol w:w="291"/>
      </w:tblGrid>
      <w:tr>
        <w:trPr/>
        <w:tc>
          <w:tcPr>
            <w:tcW w:w="32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3"/>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Consideration</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Consideration</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EMD Promissory Note</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Fair value of total consideration transferred</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equity consideration transferred in the EMD Acquisition, consists of 1,536,198 shares of Class A common stock with an aggregate fair value of $9.8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EMD Acquisition includes a contingent consideration arrangement that requires an additional cash consideration payment of up to $0.75 million if certain future revenue targets are met. The arrangement provides for two annual measurement periods: the first being the trailing twelve months following the closing date, and the second being the trailing twelve months following the first anniversary of the closing date. The maximum potential payout is $0.5 million for the initial period and $0.25 million for the second period. The payments are subject to a formula based on the revenue performance of EMD during each respective period. The fair value of the contingent consideration recognized on the acquisition date of $0.2 million was estimated by applying a Monte Carlo Simulation approach. As of July 31, 2026, contingent consideration was included in acquisition-related liabilities. The EMD Promissory Note was recorded at acquisition date fair value and is further described in Note 12.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incurred an immaterial amount of transaction-related costs, which were expensed as incurred and included in general and administrative expenses on the consolidated statements of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Consideration, Contingent Consideration and the EMD Promissory Note represent non-cash investing and financing activities on the Condensed Consolidated Statements of 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EMD Acquisition was accounted for as a business combination using the acquisition method of accounting in accordance with ASC 805. The Company was identified as the accounting acquirer in the transaction. Under the acquisition method of accounting, the assets acquired and liabilities assumed are recorded at their respective fair values as of the EMD Acquisition closing date.</w:t>
      </w:r>
    </w:p>
    <w:p>
      <w:pPr>
        <w:pStyle w:val="TextBody"/>
        <w:bidi w:val="0"/>
        <w:jc w:val="both"/>
        <w:rPr/>
      </w:pPr>
      <w:r>
        <w:rPr/>
        <w:t> </w:t>
      </w:r>
    </w:p>
    <w:p>
      <w:pPr>
        <w:pStyle w:val="TextBody"/>
        <w:bidi w:val="0"/>
        <w:jc w:val="both"/>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aggregate purchase price noted above was allocated to the identifiable assets acquired and liabilities assumed based upon their estimated fair values at the acquisition date, primarily using Level 2 and Level 3 inputs. Refer to Note 6, </w:t>
      </w:r>
      <w:r>
        <w:rPr>
          <w:rFonts w:ascii="Times New Roman" w:hAnsi="Times New Roman"/>
          <w:i/>
          <w:color w:val="000000"/>
          <w:sz w:val="20"/>
        </w:rPr>
        <w:t>Fair Value Measurements</w:t>
      </w:r>
      <w:r>
        <w:rPr>
          <w:rFonts w:ascii="Times New Roman" w:hAnsi="Times New Roman"/>
          <w:color w:val="000000"/>
          <w:sz w:val="20"/>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engaged an independent third-party valuation firm to assist in determining the fair value of the transaction, including intangible assets, debt, and contingent consideration.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excess of the consideration transferred over the fair value of the identifiable assets acquired, net of liabilities assumed, was recognized as goodwill. This goodwill primarily reflects the revenue-driven synergies expected from integrating EMD’s established marketing capabilities with the Company’s existing portfolio of offerings.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allocation of the purchase price and the estimated fair values of the assets acquired and liabilities assumed is as follows:</w:t>
      </w:r>
    </w:p>
    <w:p>
      <w:pPr>
        <w:pStyle w:val="TextBody"/>
        <w:bidi w:val="0"/>
        <w:jc w:val="both"/>
        <w:rPr/>
      </w:pPr>
      <w:r>
        <w:rPr/>
        <w:t> </w:t>
      </w:r>
    </w:p>
    <w:tbl>
      <w:tblPr>
        <w:tblW w:w="4027" w:type="dxa"/>
        <w:jc w:val="left"/>
        <w:tblInd w:w="0" w:type="dxa"/>
        <w:tblLayout w:type="fixed"/>
        <w:tblCellMar>
          <w:top w:w="28" w:type="dxa"/>
          <w:left w:w="28" w:type="dxa"/>
          <w:bottom w:w="28" w:type="dxa"/>
          <w:right w:w="28" w:type="dxa"/>
        </w:tblCellMar>
      </w:tblPr>
      <w:tblGrid>
        <w:gridCol w:w="2626"/>
        <w:gridCol w:w="230"/>
        <w:gridCol w:w="172"/>
        <w:gridCol w:w="708"/>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Identified assets and liabilities: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identifiable net assets acquired</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Consideration transferred</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resulting goodwill of $12.1 million is expected to be deductible for income tax purposes and represents the future economic benefits arising from other assets acquired that could not be individually identified and separately recognized. Specifically, the goodwill recorded as part of the EMD Acquisition includes, but is not limited to: (1) the expected synergies EMD will bring to the Company’s portfolio while also unlocking new opportunities for growth, and (2) any intangible assets that do not qualify for separate recognition, such as the assembled workforce of EMD.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finite-lived intangible assets related to customer relationships and trademarks. The fair value of the customer relationships was determined using the multi-period excess earnings method under the income approach, and the fair value of the trademark was determined using the relief from royalty rate method under the income approach. The newly recognized intangible assets are being amortized over the estimated useful lives on a straight-line basis. The following table summarizes the estimated fair values and estimated useful lives for the identifiable intangible assets acquired as of the acquisition date:</w:t>
      </w:r>
    </w:p>
    <w:p>
      <w:pPr>
        <w:pStyle w:val="TextBody"/>
        <w:bidi w:val="0"/>
        <w:jc w:val="both"/>
        <w:rPr/>
      </w:pPr>
      <w:r>
        <w:rPr/>
        <w:t> </w:t>
      </w:r>
    </w:p>
    <w:tbl>
      <w:tblPr>
        <w:tblW w:w="5478" w:type="dxa"/>
        <w:jc w:val="left"/>
        <w:tblInd w:w="0" w:type="dxa"/>
        <w:tblLayout w:type="fixed"/>
        <w:tblCellMar>
          <w:top w:w="28" w:type="dxa"/>
          <w:left w:w="28" w:type="dxa"/>
          <w:bottom w:w="28" w:type="dxa"/>
          <w:right w:w="28" w:type="dxa"/>
        </w:tblCellMar>
      </w:tblPr>
      <w:tblGrid>
        <w:gridCol w:w="1741"/>
        <w:gridCol w:w="287"/>
        <w:gridCol w:w="1363"/>
        <w:gridCol w:w="146"/>
        <w:gridCol w:w="379"/>
        <w:gridCol w:w="282"/>
        <w:gridCol w:w="989"/>
        <w:gridCol w:w="291"/>
      </w:tblGrid>
      <w:tr>
        <w:trPr/>
        <w:tc>
          <w:tcPr>
            <w:tcW w:w="17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Contract assets and liabilities were recorded under </w:t>
      </w:r>
      <w:r>
        <w:rPr>
          <w:rFonts w:ascii="Times New Roman" w:hAnsi="Times New Roman"/>
          <w:i/>
          <w:color w:val="000000"/>
          <w:sz w:val="20"/>
        </w:rPr>
        <w:t>ASC Topic 606, Revenue from Contracts with Customers (“ASC 606”)</w:t>
      </w:r>
      <w:r>
        <w:rPr>
          <w:rFonts w:ascii="Times New Roman" w:hAnsi="Times New Roman"/>
          <w:color w:val="000000"/>
          <w:sz w:val="20"/>
        </w:rPr>
        <w:t xml:space="preserve"> in accordance with ASU No. 2021-08; therefore, adjustments in contract assets and liabilities related to the estimated fair values of the acquired contract assets and liabilities were not required. </w:t>
      </w:r>
    </w:p>
    <w:p>
      <w:pPr>
        <w:pStyle w:val="TextBody"/>
        <w:bidi w:val="0"/>
        <w:jc w:val="both"/>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July 31, 2026, the Company’s consolidated results included $4.0 million of EMD’s revenue and $0.2 million of EMD’s net income.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Supplemental Unaudited Pro Forma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unaudited supplemental pro forma financial information presents the consolidated results of operations of the Company combined with the historical results of subsidiaries acquired subsequent to the start of the three and six months ended July 31, 2026 and 2025, on a pro forma basis, as if each acquisition had occurred at the beginning of the most recently completed fiscal year preceding its respective acquisition:</w:t>
      </w:r>
    </w:p>
    <w:p>
      <w:pPr>
        <w:pStyle w:val="TextBody"/>
        <w:bidi w:val="0"/>
        <w:spacing w:before="240" w:after="283"/>
        <w:jc w:val="both"/>
        <w:rPr/>
      </w:pPr>
      <w:r>
        <w:rPr/>
        <w:t> </w:t>
      </w:r>
    </w:p>
    <w:tbl>
      <w:tblPr>
        <w:tblW w:w="5880" w:type="dxa"/>
        <w:jc w:val="left"/>
        <w:tblInd w:w="0" w:type="dxa"/>
        <w:tblLayout w:type="fixed"/>
        <w:tblCellMar>
          <w:top w:w="28" w:type="dxa"/>
          <w:left w:w="28" w:type="dxa"/>
          <w:bottom w:w="28" w:type="dxa"/>
          <w:right w:w="28" w:type="dxa"/>
        </w:tblCellMar>
      </w:tblPr>
      <w:tblGrid>
        <w:gridCol w:w="721"/>
        <w:gridCol w:w="196"/>
        <w:gridCol w:w="146"/>
        <w:gridCol w:w="661"/>
        <w:gridCol w:w="166"/>
        <w:gridCol w:w="146"/>
        <w:gridCol w:w="196"/>
        <w:gridCol w:w="146"/>
        <w:gridCol w:w="661"/>
        <w:gridCol w:w="166"/>
        <w:gridCol w:w="146"/>
        <w:gridCol w:w="196"/>
        <w:gridCol w:w="146"/>
        <w:gridCol w:w="661"/>
        <w:gridCol w:w="166"/>
        <w:gridCol w:w="146"/>
        <w:gridCol w:w="196"/>
        <w:gridCol w:w="146"/>
        <w:gridCol w:w="661"/>
        <w:gridCol w:w="211"/>
      </w:tblGrid>
      <w:tr>
        <w:trPr/>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69"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 (unaudited)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forma information reflects adjustments that are expected to have a continuing impact on the Company’s results of operations and are directly attributable to the acquisition. The unaudited supplemental pro forma information above includes adjustments to reflect, among other things, direct transaction costs relating to the acquisition, the incremental intangible asset amortization to be incurred based on the preliminary values of each identifiable intangible asset, and to eliminate a portion of the interest expense related to liabilities, which were assumed by the Company upon completion of the acquisition. The unaudited supplemental pro forma financial information has been presented for illustrative purposes only and is not necessarily indicative of results of operations that would have been achieved had the acquisitions taken place on the date indicated, or of the Company’s future consolidated statements of operations. The supplemental pro forma information presented above has been derived from the Company’s historical condensed consolidated financial statements and from the historical accounting records of the acquired businesses to which it gives effect.</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February 1, 2026 the Company adopted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The Company elected the practical expedient for estimating expected credit losses on certain current accounts receivable and contract assets which allows entities to assume that the current conditions applied in determining credit loss allowances remain unchanged for the remaining life of those assets. The Company applied this guidance prospectively, and the adoption did not have a material impact on the Company's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Contract Assets, Deferred Revenue and Remaining Performance Obligations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transactions in which payment has been received and there is an outstanding performance obligation, the associated revenue is recorded as deferred revenue and recognized once such obligation is fulfilled.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578"/>
        <w:gridCol w:w="146"/>
        <w:gridCol w:w="213"/>
        <w:gridCol w:w="159"/>
        <w:gridCol w:w="721"/>
        <w:gridCol w:w="180"/>
        <w:gridCol w:w="159"/>
        <w:gridCol w:w="213"/>
        <w:gridCol w:w="159"/>
        <w:gridCol w:w="622"/>
        <w:gridCol w:w="166"/>
        <w:gridCol w:w="146"/>
        <w:gridCol w:w="222"/>
        <w:gridCol w:w="165"/>
        <w:gridCol w:w="750"/>
        <w:gridCol w:w="188"/>
        <w:gridCol w:w="165"/>
        <w:gridCol w:w="222"/>
        <w:gridCol w:w="165"/>
        <w:gridCol w:w="647"/>
        <w:gridCol w:w="219"/>
      </w:tblGrid>
      <w:tr>
        <w:trPr/>
        <w:tc>
          <w:tcPr>
            <w:tcW w:w="4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the end of the prior year, or at acquisition per the opening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current period included in beginning balance, post 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18,072</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information about the balances of and changes to contract assets for the following periods (in thousands):</w:t>
      </w:r>
    </w:p>
    <w:p>
      <w:pPr>
        <w:pStyle w:val="TextBody"/>
        <w:bidi w:val="0"/>
        <w:spacing w:before="240" w:after="283"/>
        <w:jc w:val="both"/>
        <w:rPr/>
      </w:pPr>
      <w:r>
        <w:rPr/>
        <w:t> </w:t>
      </w:r>
    </w:p>
    <w:tbl>
      <w:tblPr>
        <w:tblW w:w="6164" w:type="dxa"/>
        <w:jc w:val="left"/>
        <w:tblInd w:w="0" w:type="dxa"/>
        <w:tblLayout w:type="fixed"/>
        <w:tblCellMar>
          <w:top w:w="28" w:type="dxa"/>
          <w:left w:w="28" w:type="dxa"/>
          <w:bottom w:w="28" w:type="dxa"/>
          <w:right w:w="28" w:type="dxa"/>
        </w:tblCellMar>
      </w:tblPr>
      <w:tblGrid>
        <w:gridCol w:w="2206"/>
        <w:gridCol w:w="146"/>
        <w:gridCol w:w="348"/>
        <w:gridCol w:w="259"/>
        <w:gridCol w:w="908"/>
        <w:gridCol w:w="146"/>
        <w:gridCol w:w="146"/>
        <w:gridCol w:w="417"/>
        <w:gridCol w:w="310"/>
        <w:gridCol w:w="108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the aggregate amount of the transaction price allocated to performance obligations that were unsatisfied or partially unsatisfied was approximately $46.8 million. The Company expects to recognize approximately $24.5 million of the remaining performance obligations as revenue over the next 12 months, which primarily relates to platform solutions performance obligations and subscription contracts. The remaining balance of approximately $22.3 million relates primarily to subscription contracts and is expected to be recognized as revenue primarily over the next 24 months. These amounts represent Management’s estimates of revenue expected to be recognized in future periods and are subject to change, including as a result of contract modifications, terminations, or changes in scope.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Significant Payment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enters into contracts that are typically one year in length or less with payments required up front on either an annual or monthly basis. The Company has applied the practical expedient to not adjust the consideration for the effects of a significant financing component for these contracts because the period between the transfer of the promised service and the payment is one year or less. For contracts that extend beyond 12 months, the Company delivers its services once it receives up-front payment, thus not meeting the definition of a significant financing component.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most cases, contracts are non-cancelable, and consideration paid for services that customers purchase from the Company is non-refundable. Therefore, at the time revenue is recognized, the Company does not estimate expected refunds for services, nor does the Company exclude any such amounts from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Costs to Obtain Revenue Contracts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practical expedient, the Company recognizes the incremental costs of obtaining contracts, such as sales commissions, as expenses when incurred if the amortization period is one year or less.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derives its revenue primarily from platform revenue and platform solutions revenue. The Company’s primary revenue streams were as follows:</w:t>
      </w:r>
    </w:p>
    <w:p>
      <w:pPr>
        <w:pStyle w:val="TextBody"/>
        <w:bidi w:val="0"/>
        <w:jc w:val="left"/>
        <w:rPr/>
      </w:pPr>
      <w:r>
        <w:rPr/>
        <w:t> </w:t>
      </w:r>
    </w:p>
    <w:tbl>
      <w:tblPr>
        <w:tblW w:w="7166" w:type="dxa"/>
        <w:jc w:val="left"/>
        <w:tblInd w:w="0" w:type="dxa"/>
        <w:tblLayout w:type="fixed"/>
        <w:tblCellMar>
          <w:top w:w="28" w:type="dxa"/>
          <w:left w:w="28" w:type="dxa"/>
          <w:bottom w:w="28" w:type="dxa"/>
          <w:right w:w="28" w:type="dxa"/>
        </w:tblCellMar>
      </w:tblPr>
      <w:tblGrid>
        <w:gridCol w:w="1981"/>
        <w:gridCol w:w="146"/>
        <w:gridCol w:w="196"/>
        <w:gridCol w:w="146"/>
        <w:gridCol w:w="601"/>
        <w:gridCol w:w="146"/>
        <w:gridCol w:w="146"/>
        <w:gridCol w:w="196"/>
        <w:gridCol w:w="146"/>
        <w:gridCol w:w="601"/>
        <w:gridCol w:w="146"/>
        <w:gridCol w:w="146"/>
        <w:gridCol w:w="196"/>
        <w:gridCol w:w="146"/>
        <w:gridCol w:w="601"/>
        <w:gridCol w:w="146"/>
        <w:gridCol w:w="146"/>
        <w:gridCol w:w="196"/>
        <w:gridCol w:w="146"/>
        <w:gridCol w:w="601"/>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Marketplace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solutions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Cost of Revenue</w:t>
      </w:r>
      <w:r>
        <w:rPr>
          <w:rFonts w:ascii="Times New Roman" w:hAnsi="Times New Roman"/>
          <w:color w:val="000000"/>
          <w:sz w:val="20"/>
        </w:rPr>
        <w:t xml:space="preserve"> </w:t>
      </w:r>
      <w:r>
        <w:rPr>
          <w:rFonts w:ascii="Times New Roman" w:hAnsi="Times New Roman"/>
          <w:b/>
          <w:i/>
          <w:color w:val="000000"/>
          <w:sz w:val="20"/>
        </w:rPr>
        <w:t>(exclusive of depreciation and amortization)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disaggregates cost of revenue based on whether the cost is attributable to services rendered, tangible products, and other indirect costs. The breakdown of cost of revenue (exclusive of depreciation and amortization) is as follows:</w:t>
      </w:r>
    </w:p>
    <w:p>
      <w:pPr>
        <w:pStyle w:val="TextBody"/>
        <w:bidi w:val="0"/>
        <w:jc w:val="left"/>
        <w:rPr/>
      </w:pPr>
      <w:r>
        <w:rPr/>
        <w:t> </w:t>
      </w:r>
    </w:p>
    <w:tbl>
      <w:tblPr>
        <w:tblW w:w="7541" w:type="dxa"/>
        <w:jc w:val="left"/>
        <w:tblInd w:w="0" w:type="dxa"/>
        <w:tblLayout w:type="fixed"/>
        <w:tblCellMar>
          <w:top w:w="28" w:type="dxa"/>
          <w:left w:w="28" w:type="dxa"/>
          <w:bottom w:w="28" w:type="dxa"/>
          <w:right w:w="28" w:type="dxa"/>
        </w:tblCellMar>
      </w:tblPr>
      <w:tblGrid>
        <w:gridCol w:w="2356"/>
        <w:gridCol w:w="146"/>
        <w:gridCol w:w="196"/>
        <w:gridCol w:w="146"/>
        <w:gridCol w:w="601"/>
        <w:gridCol w:w="146"/>
        <w:gridCol w:w="146"/>
        <w:gridCol w:w="196"/>
        <w:gridCol w:w="146"/>
        <w:gridCol w:w="601"/>
        <w:gridCol w:w="146"/>
        <w:gridCol w:w="146"/>
        <w:gridCol w:w="196"/>
        <w:gridCol w:w="146"/>
        <w:gridCol w:w="601"/>
        <w:gridCol w:w="146"/>
        <w:gridCol w:w="146"/>
        <w:gridCol w:w="196"/>
        <w:gridCol w:w="146"/>
        <w:gridCol w:w="601"/>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52"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Subscription revenue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Marketplace revenue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revenue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revenue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solutions revenue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6"/>
              </w:rPr>
            </w:pPr>
            <w:r>
              <w:rPr>
                <w:rFonts w:ascii="Times New Roman" w:hAnsi="Times New Roman"/>
                <w:color w:val="000000"/>
                <w:sz w:val="16"/>
              </w:rPr>
              <w:t xml:space="preserve">Total cost of revenue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Excludes depreciation and amortization.</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present the Company’s liabilities that are measured at fair value on a recurring basis and indicate the fair value hierarchy of the valuations:</w:t>
      </w:r>
    </w:p>
    <w:p>
      <w:pPr>
        <w:pStyle w:val="TextBody"/>
        <w:bidi w:val="0"/>
        <w:spacing w:before="240" w:after="283"/>
        <w:jc w:val="both"/>
        <w:rPr/>
      </w:pPr>
      <w:r>
        <w:rPr/>
        <w:t> </w:t>
      </w:r>
    </w:p>
    <w:tbl>
      <w:tblPr>
        <w:tblW w:w="5986" w:type="dxa"/>
        <w:jc w:val="left"/>
        <w:tblInd w:w="0" w:type="dxa"/>
        <w:tblLayout w:type="fixed"/>
        <w:tblCellMar>
          <w:top w:w="28" w:type="dxa"/>
          <w:left w:w="28" w:type="dxa"/>
          <w:bottom w:w="28" w:type="dxa"/>
          <w:right w:w="28" w:type="dxa"/>
        </w:tblCellMar>
      </w:tblPr>
      <w:tblGrid>
        <w:gridCol w:w="1411"/>
        <w:gridCol w:w="146"/>
        <w:gridCol w:w="196"/>
        <w:gridCol w:w="146"/>
        <w:gridCol w:w="346"/>
        <w:gridCol w:w="146"/>
        <w:gridCol w:w="146"/>
        <w:gridCol w:w="196"/>
        <w:gridCol w:w="146"/>
        <w:gridCol w:w="346"/>
        <w:gridCol w:w="146"/>
        <w:gridCol w:w="146"/>
        <w:gridCol w:w="196"/>
        <w:gridCol w:w="146"/>
        <w:gridCol w:w="601"/>
        <w:gridCol w:w="146"/>
        <w:gridCol w:w="146"/>
        <w:gridCol w:w="196"/>
        <w:gridCol w:w="146"/>
        <w:gridCol w:w="601"/>
        <w:gridCol w:w="2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MW Call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5986" w:type="dxa"/>
        <w:jc w:val="left"/>
        <w:tblInd w:w="0" w:type="dxa"/>
        <w:tblLayout w:type="fixed"/>
        <w:tblCellMar>
          <w:top w:w="28" w:type="dxa"/>
          <w:left w:w="28" w:type="dxa"/>
          <w:bottom w:w="28" w:type="dxa"/>
          <w:right w:w="28" w:type="dxa"/>
        </w:tblCellMar>
      </w:tblPr>
      <w:tblGrid>
        <w:gridCol w:w="1411"/>
        <w:gridCol w:w="146"/>
        <w:gridCol w:w="196"/>
        <w:gridCol w:w="146"/>
        <w:gridCol w:w="346"/>
        <w:gridCol w:w="146"/>
        <w:gridCol w:w="146"/>
        <w:gridCol w:w="196"/>
        <w:gridCol w:w="146"/>
        <w:gridCol w:w="346"/>
        <w:gridCol w:w="146"/>
        <w:gridCol w:w="146"/>
        <w:gridCol w:w="196"/>
        <w:gridCol w:w="146"/>
        <w:gridCol w:w="601"/>
        <w:gridCol w:w="146"/>
        <w:gridCol w:w="146"/>
        <w:gridCol w:w="196"/>
        <w:gridCol w:w="146"/>
        <w:gridCol w:w="601"/>
        <w:gridCol w:w="2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MW Call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features embedded in the secured promissory notes (“Senior Secured Promissory Notes”), the Company recognized embedded derivative liabilities as of July 31, 2026 and January 31, 2026. The derivative liability associated with the Senior Secured Promissory Notes is classified as a non-current liability in the condensed consolidated balance sheets as of July 31, 2026 and January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recognized losses of $0.1 million related to the change in fair value of the derivative liabilities during both the three and six months ended July 31, 2026, which was recorded in (Gain) loss from change in fair value of financial instruments. There were no other components to the change in its fair value during the three and six months ended July 31, 2026. During the three and six months ended July 31, 2025, the Company recognized a gain of $0.3 million and gain of $0.4 million, respectively. The Company estimated the fair value of the derivative liabilities using the “With and Without” method, which involves modeling the expected cash flows to the noteholder under both default and non-default scenarios and measuring the fair value differential between a note with and without the embedded features. The valuation of the derivative liabilities incorporated significant unobservable inputs, including the timing and probability of potential liquidity events, discount rate, illiquidity discount, and expected volatility. Other inputs include prevailing interest and risk-free rates, which are not considered significant unobservable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Midwestern Call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a loss of $0.4 million and gain of $0.3 million related to the change in fair value of the freestanding call option agreement (“MW Call Option”) during the three and six months ended July 31, 2026, respectively, which was recorded in (Gain) loss from change in fair value of financial instruments. There were no other components to the change in its fair value during the three and six months ended July 31, 2026. During the three and six months ended July 31, 2025, the Company recognized a gain of $0.1 million and loss of $0.5 million, respectively. The Company estimated the fair value of the MW Call Option using a Monte Carlo simulation, using a correlation between the Company’s equity value and Midwestern’s equity value. The valuation of the MW Call Option incorporated significant unobservable inputs, including the starting equity value of Midwestern, the correlation coefficient, dividend yield, and credit-risk-adjusted discount rate. Although some observable inputs were used in the fair value determination, primarily the equity value of the Company and the risk-free rate, the unobservable inputs are significant to the determination of fair value and, accordingly, the Company has classified the MW Call Option as a Level 3 fair value liability.</w:t>
      </w:r>
    </w:p>
    <w:p>
      <w:pPr>
        <w:pStyle w:val="TextBody"/>
        <w:bidi w:val="0"/>
        <w:spacing w:before="240" w:after="283"/>
        <w:jc w:val="both"/>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Capitalized Software,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Capitalized software consisted of the following as of July 31, 2026 and January 31, 2026;</w:t>
      </w:r>
    </w:p>
    <w:p>
      <w:pPr>
        <w:pStyle w:val="TextBody"/>
        <w:bidi w:val="0"/>
        <w:spacing w:before="240" w:after="283"/>
        <w:jc w:val="both"/>
        <w:rPr/>
      </w:pPr>
      <w:r>
        <w:rPr/>
        <w:t> </w:t>
      </w:r>
    </w:p>
    <w:tbl>
      <w:tblPr>
        <w:tblW w:w="5654" w:type="dxa"/>
        <w:jc w:val="left"/>
        <w:tblInd w:w="0" w:type="dxa"/>
        <w:tblLayout w:type="fixed"/>
        <w:tblCellMar>
          <w:top w:w="28" w:type="dxa"/>
          <w:left w:w="28" w:type="dxa"/>
          <w:bottom w:w="28" w:type="dxa"/>
          <w:right w:w="28" w:type="dxa"/>
        </w:tblCellMar>
      </w:tblPr>
      <w:tblGrid>
        <w:gridCol w:w="2296"/>
        <w:gridCol w:w="146"/>
        <w:gridCol w:w="214"/>
        <w:gridCol w:w="159"/>
        <w:gridCol w:w="722"/>
        <w:gridCol w:w="166"/>
        <w:gridCol w:w="146"/>
        <w:gridCol w:w="272"/>
        <w:gridCol w:w="203"/>
        <w:gridCol w:w="919"/>
        <w:gridCol w:w="4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Amortization expense, which is included in depreciation and amortization in the condensed consolidated financial statements of operations, totaled</w:t>
      </w:r>
      <w:r>
        <w:rPr>
          <w:rFonts w:ascii="Times New Roman" w:hAnsi="Times New Roman"/>
          <w:color w:val="0000FF"/>
          <w:sz w:val="20"/>
        </w:rPr>
        <w:t xml:space="preserve"> </w:t>
      </w:r>
      <w:r>
        <w:rPr>
          <w:rFonts w:ascii="Times New Roman" w:hAnsi="Times New Roman"/>
          <w:color w:val="000000"/>
          <w:sz w:val="20"/>
        </w:rPr>
        <w:t>$1.9 million and $1.6 million for the three months ended July 31, 2026 and 2025,</w:t>
      </w:r>
    </w:p>
    <w:p>
      <w:pPr>
        <w:pStyle w:val="TextBody"/>
        <w:bidi w:val="0"/>
        <w:jc w:val="both"/>
        <w:rPr>
          <w:rFonts w:ascii="Times New Roman" w:hAnsi="Times New Roman"/>
          <w:sz w:val="20"/>
        </w:rPr>
      </w:pPr>
      <w:r>
        <w:rPr>
          <w:rFonts w:ascii="Times New Roman" w:hAnsi="Times New Roman"/>
          <w:color w:val="000000"/>
          <w:sz w:val="20"/>
        </w:rPr>
        <w:t>respectively. Amortization expense totaled $3.7</w:t>
      </w:r>
      <w:r>
        <w:rPr>
          <w:rFonts w:ascii="Times New Roman" w:hAnsi="Times New Roman"/>
          <w:color w:val="0000FF"/>
          <w:sz w:val="20"/>
        </w:rPr>
        <w:t xml:space="preserve"> </w:t>
      </w:r>
      <w:r>
        <w:rPr>
          <w:rFonts w:ascii="Times New Roman" w:hAnsi="Times New Roman"/>
          <w:color w:val="000000"/>
          <w:sz w:val="20"/>
        </w:rPr>
        <w:t>million and $3.3 million for the six months ended July 31, 2026 and 2025, respectively.</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Intangible Assets, Net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Intangible assets consisted of the following as of July 31, 2026 and January 31, 2026:</w:t>
      </w:r>
    </w:p>
    <w:p>
      <w:pPr>
        <w:pStyle w:val="TextBody"/>
        <w:bidi w:val="0"/>
        <w:jc w:val="left"/>
        <w:rPr/>
      </w:pPr>
      <w:r>
        <w:rPr/>
        <w:t> </w:t>
      </w:r>
    </w:p>
    <w:tbl>
      <w:tblPr>
        <w:tblW w:w="7584" w:type="dxa"/>
        <w:jc w:val="left"/>
        <w:tblInd w:w="0" w:type="dxa"/>
        <w:tblLayout w:type="fixed"/>
        <w:tblCellMar>
          <w:top w:w="28" w:type="dxa"/>
          <w:left w:w="28" w:type="dxa"/>
          <w:bottom w:w="28" w:type="dxa"/>
          <w:right w:w="28" w:type="dxa"/>
        </w:tblCellMar>
      </w:tblPr>
      <w:tblGrid>
        <w:gridCol w:w="1696"/>
        <w:gridCol w:w="146"/>
        <w:gridCol w:w="146"/>
        <w:gridCol w:w="886"/>
        <w:gridCol w:w="146"/>
        <w:gridCol w:w="258"/>
        <w:gridCol w:w="192"/>
        <w:gridCol w:w="794"/>
        <w:gridCol w:w="146"/>
        <w:gridCol w:w="146"/>
        <w:gridCol w:w="232"/>
        <w:gridCol w:w="172"/>
        <w:gridCol w:w="677"/>
        <w:gridCol w:w="166"/>
        <w:gridCol w:w="146"/>
        <w:gridCol w:w="258"/>
        <w:gridCol w:w="192"/>
        <w:gridCol w:w="794"/>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84" w:type="dxa"/>
        <w:jc w:val="left"/>
        <w:tblInd w:w="0" w:type="dxa"/>
        <w:tblLayout w:type="fixed"/>
        <w:tblCellMar>
          <w:top w:w="28" w:type="dxa"/>
          <w:left w:w="28" w:type="dxa"/>
          <w:bottom w:w="28" w:type="dxa"/>
          <w:right w:w="28" w:type="dxa"/>
        </w:tblCellMar>
      </w:tblPr>
      <w:tblGrid>
        <w:gridCol w:w="1696"/>
        <w:gridCol w:w="146"/>
        <w:gridCol w:w="146"/>
        <w:gridCol w:w="886"/>
        <w:gridCol w:w="146"/>
        <w:gridCol w:w="258"/>
        <w:gridCol w:w="192"/>
        <w:gridCol w:w="794"/>
        <w:gridCol w:w="146"/>
        <w:gridCol w:w="146"/>
        <w:gridCol w:w="232"/>
        <w:gridCol w:w="172"/>
        <w:gridCol w:w="677"/>
        <w:gridCol w:w="166"/>
        <w:gridCol w:w="146"/>
        <w:gridCol w:w="258"/>
        <w:gridCol w:w="192"/>
        <w:gridCol w:w="794"/>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Amortization expense was</w:t>
      </w:r>
      <w:r>
        <w:rPr>
          <w:rFonts w:ascii="Times New Roman" w:hAnsi="Times New Roman"/>
          <w:color w:val="0000FF"/>
          <w:sz w:val="20"/>
        </w:rPr>
        <w:t xml:space="preserve"> </w:t>
      </w:r>
      <w:r>
        <w:rPr>
          <w:rFonts w:ascii="Times New Roman" w:hAnsi="Times New Roman"/>
          <w:color w:val="000000"/>
          <w:sz w:val="20"/>
        </w:rPr>
        <w:t>$1.5 million and $0.8 million for the three months ended July 31, 2026 and 2025, respectively. Amortization expense was $2.8 million and $1.5 million for the six months ended July 31, 2026 and 2025, respectively.</w:t>
      </w:r>
    </w:p>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changes in the carrying amount of goodwill during the six months ended July 31, 2026:</w:t>
      </w:r>
    </w:p>
    <w:p>
      <w:pPr>
        <w:pStyle w:val="TextBody"/>
        <w:bidi w:val="0"/>
        <w:jc w:val="left"/>
        <w:rPr/>
      </w:pPr>
      <w:r>
        <w:rPr/>
        <w:t> </w:t>
      </w:r>
    </w:p>
    <w:tbl>
      <w:tblPr>
        <w:tblW w:w="4859" w:type="dxa"/>
        <w:jc w:val="left"/>
        <w:tblInd w:w="0" w:type="dxa"/>
        <w:tblLayout w:type="fixed"/>
        <w:tblCellMar>
          <w:top w:w="28" w:type="dxa"/>
          <w:left w:w="28" w:type="dxa"/>
          <w:bottom w:w="28" w:type="dxa"/>
          <w:right w:w="28" w:type="dxa"/>
        </w:tblCellMar>
      </w:tblPr>
      <w:tblGrid>
        <w:gridCol w:w="3116"/>
        <w:gridCol w:w="146"/>
        <w:gridCol w:w="196"/>
        <w:gridCol w:w="193"/>
        <w:gridCol w:w="917"/>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Acquired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Effect of foreign currency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leases office facilities under non-cancellable operating lease arrangements, expiring at various dates through 2030. The Company’s leases generally provide for periodic rent increases and may contain escalation clauses, extension options, or renewal options. The Company does not assume renewals in its determination of the lease term unless the renewals are deemed to be reasonably certain at lease commencement. The Company’s lease agreements generally do not contain any material residual value guarantees or material restrictive covenants.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costs, lease term, and discount rate for operating leases are as follows for the three and six months ended July 31, 2026 and 2025:</w:t>
      </w:r>
    </w:p>
    <w:p>
      <w:pPr>
        <w:pStyle w:val="TextBody"/>
        <w:bidi w:val="0"/>
        <w:jc w:val="both"/>
        <w:rPr/>
      </w:pPr>
      <w:r>
        <w:rPr/>
        <w:t> </w:t>
      </w:r>
    </w:p>
    <w:tbl>
      <w:tblPr>
        <w:tblW w:w="7058" w:type="dxa"/>
        <w:jc w:val="left"/>
        <w:tblInd w:w="0" w:type="dxa"/>
        <w:tblLayout w:type="fixed"/>
        <w:tblCellMar>
          <w:top w:w="28" w:type="dxa"/>
          <w:left w:w="28" w:type="dxa"/>
          <w:bottom w:w="28" w:type="dxa"/>
          <w:right w:w="28" w:type="dxa"/>
        </w:tblCellMar>
      </w:tblPr>
      <w:tblGrid>
        <w:gridCol w:w="3061"/>
        <w:gridCol w:w="146"/>
        <w:gridCol w:w="196"/>
        <w:gridCol w:w="646"/>
        <w:gridCol w:w="146"/>
        <w:gridCol w:w="196"/>
        <w:gridCol w:w="646"/>
        <w:gridCol w:w="146"/>
        <w:gridCol w:w="196"/>
        <w:gridCol w:w="646"/>
        <w:gridCol w:w="146"/>
        <w:gridCol w:w="196"/>
        <w:gridCol w:w="6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July 31, 2026 and January 31, 2026, the weighted average remaining lease term was</w:t>
      </w:r>
      <w:r>
        <w:rPr>
          <w:rFonts w:ascii="Times New Roman" w:hAnsi="Times New Roman"/>
          <w:color w:val="0000FF"/>
          <w:sz w:val="20"/>
        </w:rPr>
        <w:t xml:space="preserve"> </w:t>
      </w:r>
      <w:r>
        <w:rPr>
          <w:rFonts w:ascii="Times New Roman" w:hAnsi="Times New Roman"/>
          <w:color w:val="000000"/>
          <w:sz w:val="20"/>
        </w:rPr>
        <w:t>3.61</w:t>
      </w:r>
      <w:r>
        <w:rPr>
          <w:rFonts w:ascii="Times New Roman" w:hAnsi="Times New Roman"/>
          <w:color w:val="0000FF"/>
          <w:sz w:val="20"/>
        </w:rPr>
        <w:t xml:space="preserve"> </w:t>
      </w:r>
      <w:r>
        <w:rPr>
          <w:rFonts w:ascii="Times New Roman" w:hAnsi="Times New Roman"/>
          <w:color w:val="000000"/>
          <w:sz w:val="20"/>
        </w:rPr>
        <w:t>years and 4.08 years, respectively, and the weighted average discount rate was 11.27%</w:t>
      </w:r>
      <w:r>
        <w:rPr>
          <w:rFonts w:ascii="Times New Roman" w:hAnsi="Times New Roman"/>
          <w:color w:val="0000FF"/>
          <w:sz w:val="20"/>
        </w:rPr>
        <w:t xml:space="preserve"> </w:t>
      </w:r>
      <w:r>
        <w:rPr>
          <w:rFonts w:ascii="Times New Roman" w:hAnsi="Times New Roman"/>
          <w:color w:val="000000"/>
          <w:sz w:val="20"/>
        </w:rPr>
        <w:t>and 11.24%,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balance sheet information related to operating leases consisted of the following as of July 31, 2026 and January 31, 2026:</w:t>
      </w:r>
    </w:p>
    <w:p>
      <w:pPr>
        <w:pStyle w:val="TextBody"/>
        <w:bidi w:val="0"/>
        <w:jc w:val="both"/>
        <w:rPr/>
      </w:pPr>
      <w:r>
        <w:rPr/>
        <w:t> </w:t>
      </w:r>
    </w:p>
    <w:tbl>
      <w:tblPr>
        <w:tblW w:w="7129" w:type="dxa"/>
        <w:jc w:val="left"/>
        <w:tblInd w:w="0" w:type="dxa"/>
        <w:tblLayout w:type="fixed"/>
        <w:tblCellMar>
          <w:top w:w="28" w:type="dxa"/>
          <w:left w:w="28" w:type="dxa"/>
          <w:bottom w:w="28" w:type="dxa"/>
          <w:right w:w="28" w:type="dxa"/>
        </w:tblCellMar>
      </w:tblPr>
      <w:tblGrid>
        <w:gridCol w:w="3136"/>
        <w:gridCol w:w="146"/>
        <w:gridCol w:w="146"/>
        <w:gridCol w:w="146"/>
        <w:gridCol w:w="146"/>
        <w:gridCol w:w="146"/>
        <w:gridCol w:w="146"/>
        <w:gridCol w:w="146"/>
        <w:gridCol w:w="251"/>
        <w:gridCol w:w="187"/>
        <w:gridCol w:w="656"/>
        <w:gridCol w:w="146"/>
        <w:gridCol w:w="146"/>
        <w:gridCol w:w="320"/>
        <w:gridCol w:w="238"/>
        <w:gridCol w:w="83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0"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ROU assets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ROU assets –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lease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operating leases were as follows:</w:t>
      </w:r>
    </w:p>
    <w:p>
      <w:pPr>
        <w:pStyle w:val="TextBody"/>
        <w:bidi w:val="0"/>
        <w:jc w:val="left"/>
        <w:rPr/>
      </w:pPr>
      <w:r>
        <w:rPr/>
        <w:t> </w:t>
      </w:r>
    </w:p>
    <w:tbl>
      <w:tblPr>
        <w:tblW w:w="5627" w:type="dxa"/>
        <w:jc w:val="left"/>
        <w:tblInd w:w="0" w:type="dxa"/>
        <w:tblLayout w:type="fixed"/>
        <w:tblCellMar>
          <w:top w:w="28" w:type="dxa"/>
          <w:left w:w="28" w:type="dxa"/>
          <w:bottom w:w="28" w:type="dxa"/>
          <w:right w:w="28" w:type="dxa"/>
        </w:tblCellMar>
      </w:tblPr>
      <w:tblGrid>
        <w:gridCol w:w="2551"/>
        <w:gridCol w:w="146"/>
        <w:gridCol w:w="146"/>
        <w:gridCol w:w="146"/>
        <w:gridCol w:w="146"/>
        <w:gridCol w:w="146"/>
        <w:gridCol w:w="146"/>
        <w:gridCol w:w="146"/>
        <w:gridCol w:w="196"/>
        <w:gridCol w:w="146"/>
        <w:gridCol w:w="511"/>
        <w:gridCol w:w="146"/>
        <w:gridCol w:w="146"/>
        <w:gridCol w:w="196"/>
        <w:gridCol w:w="146"/>
        <w:gridCol w:w="37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payments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July 31, 2026, the future maturities of long-term operating lease liabilities are as follows:</w:t>
      </w:r>
    </w:p>
    <w:p>
      <w:pPr>
        <w:pStyle w:val="TextBody"/>
        <w:bidi w:val="0"/>
        <w:jc w:val="both"/>
        <w:rPr/>
      </w:pPr>
      <w:r>
        <w:rPr/>
        <w:t> </w:t>
      </w:r>
    </w:p>
    <w:tbl>
      <w:tblPr>
        <w:tblW w:w="5138" w:type="dxa"/>
        <w:jc w:val="left"/>
        <w:tblInd w:w="0" w:type="dxa"/>
        <w:tblLayout w:type="fixed"/>
        <w:tblCellMar>
          <w:top w:w="28" w:type="dxa"/>
          <w:left w:w="28" w:type="dxa"/>
          <w:bottom w:w="28" w:type="dxa"/>
          <w:right w:w="28" w:type="dxa"/>
        </w:tblCellMar>
      </w:tblPr>
      <w:tblGrid>
        <w:gridCol w:w="2566"/>
        <w:gridCol w:w="146"/>
        <w:gridCol w:w="146"/>
        <w:gridCol w:w="146"/>
        <w:gridCol w:w="146"/>
        <w:gridCol w:w="146"/>
        <w:gridCol w:w="146"/>
        <w:gridCol w:w="146"/>
        <w:gridCol w:w="270"/>
        <w:gridCol w:w="201"/>
        <w:gridCol w:w="788"/>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of</w:t>
              <w:br/>
              <w:t>Operating</w:t>
              <w:br/>
              <w:t>Lease Liabilities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January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3"/>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current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obligations under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11.</w:t>
      </w:r>
    </w:p>
    <w:p>
      <w:pPr>
        <w:pStyle w:val="TextBody"/>
        <w:bidi w:val="0"/>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the Company may be involved in litigation related to claims arising out of operations in the normal course of business. The Company accrues a liability for such matters when it is probable that a liability has been incurred and the amount can be reasonably estimated. When only a range of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As of July 31, 2026, and through the date these condensed consolidated financial statements were issued, there were no legal proceedings requiring recognition or disclosure in the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carrying value of the Company’s non-current debt was as follows for the periods presented: </w:t>
      </w:r>
    </w:p>
    <w:p>
      <w:pPr>
        <w:pStyle w:val="TextBody"/>
        <w:bidi w:val="0"/>
        <w:spacing w:before="240" w:after="283"/>
        <w:jc w:val="both"/>
        <w:rPr/>
      </w:pPr>
      <w:r>
        <w:rPr/>
        <w:t> </w:t>
      </w:r>
    </w:p>
    <w:tbl>
      <w:tblPr>
        <w:tblW w:w="7846" w:type="dxa"/>
        <w:jc w:val="left"/>
        <w:tblInd w:w="0" w:type="dxa"/>
        <w:tblLayout w:type="fixed"/>
        <w:tblCellMar>
          <w:top w:w="28" w:type="dxa"/>
          <w:left w:w="28" w:type="dxa"/>
          <w:bottom w:w="28" w:type="dxa"/>
          <w:right w:w="28" w:type="dxa"/>
        </w:tblCellMar>
      </w:tblPr>
      <w:tblGrid>
        <w:gridCol w:w="3301"/>
        <w:gridCol w:w="146"/>
        <w:gridCol w:w="1141"/>
        <w:gridCol w:w="146"/>
        <w:gridCol w:w="227"/>
        <w:gridCol w:w="169"/>
        <w:gridCol w:w="698"/>
        <w:gridCol w:w="166"/>
        <w:gridCol w:w="146"/>
        <w:gridCol w:w="290"/>
        <w:gridCol w:w="216"/>
        <w:gridCol w:w="889"/>
        <w:gridCol w:w="3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4"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PPP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April 23,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Midwestern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Varied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Igniter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July 30,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EMD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April 30,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Varied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unamortized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amounts 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debt,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29,485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future principal payments for the Company’s long-term debt are as follows:</w:t>
      </w:r>
    </w:p>
    <w:p>
      <w:pPr>
        <w:pStyle w:val="TextBody"/>
        <w:bidi w:val="0"/>
        <w:spacing w:before="240" w:after="283"/>
        <w:jc w:val="both"/>
        <w:rPr/>
      </w:pPr>
      <w:r>
        <w:rPr/>
        <w:t> </w:t>
      </w:r>
    </w:p>
    <w:tbl>
      <w:tblPr>
        <w:tblW w:w="3528" w:type="dxa"/>
        <w:jc w:val="left"/>
        <w:tblInd w:w="0" w:type="dxa"/>
        <w:tblLayout w:type="fixed"/>
        <w:tblCellMar>
          <w:top w:w="28" w:type="dxa"/>
          <w:left w:w="28" w:type="dxa"/>
          <w:bottom w:w="28" w:type="dxa"/>
          <w:right w:w="28" w:type="dxa"/>
        </w:tblCellMar>
      </w:tblPr>
      <w:tblGrid>
        <w:gridCol w:w="1981"/>
        <w:gridCol w:w="146"/>
        <w:gridCol w:w="272"/>
        <w:gridCol w:w="838"/>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Paycheck Protection Program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January 31, 2021, the Company received a Paycheck Protection Program (“PPP”) loan in the amount of $4.9 million. During the year ended January 31, 2022, the Small Business Administration claimed that the Company did not qualify for forgiveness for $1.0 million of the PPP loan. In September 2024, the Company agreed on a payment plan with the SBA to pay the loan in 180 equal monthly installments starting September 25, 2024. As of July 31, 2026, the balance for the PPP loan continued to be reflected as a liability on the condensed consolidated balance sheet. The effective interest rate of the PPP loan was 0.0% during the six months ended July 31,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Promissory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April 23, 2024, the Company entered into a promissory note purchase agreement (the “Note Purchase Agreement”) authorizing the issuance of up to an aggregate principal amount of $70.0 million in Senior Secured Promissory Notes. The Company issued $60.7 million of Senior Secured Promissory Notes to the Purchasers, including related parties, during the year ended January 31, 2025. There were no issuances during the three or six months ended July 31, 2026. The Senior Secured Promissory Notes issued to one of the Purchasers are personally guaranteed by the Company's principal stockholders, Scott and Theresa Beck. For more information on related party debt refer to </w:t>
      </w:r>
      <w:r>
        <w:rPr>
          <w:rFonts w:ascii="Times New Roman" w:hAnsi="Times New Roman"/>
          <w:i/>
          <w:color w:val="000000"/>
          <w:sz w:val="20"/>
        </w:rPr>
        <w:t>Note 16, Related Party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Senior Secured Promissory Notes bear interest at a variable rate equal to the higher of 1-Month secured overnight financing rate (“SOFR”) or 1.0%, plus 8.0% per annum. Interest is payable quarterly in arrears, comprising 8.0% cash interest and the remainder as payment-in-kind (“PIK Interest”). If an event of default occurs (as defined in the Note Purchase Agreement) and the Purchaser elects to continue holding the Senior Secured Promissory Notes, the notes will automatically bear interest at a rate that is 5.0% per annum higher than the rate otherwise applicable.</w:t>
      </w:r>
    </w:p>
    <w:p>
      <w:pPr>
        <w:pStyle w:val="TextBody"/>
        <w:bidi w:val="0"/>
        <w:spacing w:before="240" w:after="283"/>
        <w:jc w:val="both"/>
        <w:rPr>
          <w:rFonts w:ascii="Times New Roman" w:hAnsi="Times New Roman"/>
          <w:sz w:val="20"/>
        </w:rPr>
      </w:pPr>
      <w:r>
        <w:rPr>
          <w:rFonts w:ascii="Times New Roman" w:hAnsi="Times New Roman"/>
          <w:color w:val="000000"/>
          <w:sz w:val="20"/>
        </w:rPr>
        <w:t>As additional consideration to the Purchasers, the Company issued each Purchaser warrants to purchase Series A preferred units at an exercise price of $18.00 per unit (the “Warrants”). Initially, the Warrants were classified as non-current liabilities, recorded at fair value, and remeasured as of each reporting period with changes in fair value recognized in the consolidated statement of operations. As further discussed below, on June 23, 2025, the Company settled a portion of the Warrants liability, $3.9 million, in connection with the extinguishment of the majority of the Senior Secured Promissory Notes. Additionally, on November 19, 2025, the Company reclassified the remaining Warrants liability, $0.7 million, to stockholders’ equity following amendments to the Warrants’ agreements in connection with the Corporate Reorganization.</w:t>
      </w:r>
      <w:r>
        <w:rPr>
          <w:rFonts w:ascii="Times New Roman" w:hAnsi="Times New Roman"/>
          <w:color w:val="0000FF"/>
          <w:sz w:val="20"/>
        </w:rPr>
        <w:t xml:space="preserve"> </w:t>
      </w:r>
      <w:r>
        <w:rPr>
          <w:rFonts w:ascii="Times New Roman" w:hAnsi="Times New Roman"/>
          <w:color w:val="000000"/>
          <w:sz w:val="20"/>
        </w:rPr>
        <w:t xml:space="preserve">Refer to </w:t>
      </w:r>
      <w:r>
        <w:rPr>
          <w:rFonts w:ascii="Times New Roman" w:hAnsi="Times New Roman"/>
          <w:i/>
          <w:color w:val="000000"/>
          <w:sz w:val="20"/>
        </w:rPr>
        <w:t>Note 7, Fair Value Measurements,</w:t>
      </w:r>
      <w:r>
        <w:rPr>
          <w:rFonts w:ascii="Times New Roman" w:hAnsi="Times New Roman"/>
          <w:color w:val="000000"/>
          <w:sz w:val="20"/>
        </w:rPr>
        <w:t xml:space="preserve"> included in the Company’s Annual Report on Form 10-K for the year ended January 31, 2026, for additional information regarding the remeasurement of the Warrants prior to their reclassification.</w:t>
      </w:r>
    </w:p>
    <w:p>
      <w:pPr>
        <w:pStyle w:val="TextBody"/>
        <w:bidi w:val="0"/>
        <w:jc w:val="both"/>
        <w:rPr>
          <w:rFonts w:ascii="Times New Roman" w:hAnsi="Times New Roman"/>
          <w:sz w:val="20"/>
        </w:rPr>
      </w:pPr>
      <w:r>
        <w:rPr>
          <w:rFonts w:ascii="Times New Roman" w:hAnsi="Times New Roman"/>
          <w:color w:val="000000"/>
          <w:sz w:val="20"/>
        </w:rPr>
        <w:t xml:space="preserve">The Senior Secured Promissory Notes contain embedded features that are required to be bifurcated and accounted for separately as a derivative liability under </w:t>
      </w:r>
      <w:r>
        <w:rPr>
          <w:rFonts w:ascii="Times New Roman" w:hAnsi="Times New Roman"/>
          <w:i/>
          <w:color w:val="000000"/>
          <w:sz w:val="20"/>
        </w:rPr>
        <w:t>ASC 815</w:t>
      </w:r>
      <w:r>
        <w:rPr>
          <w:rFonts w:ascii="Times New Roman" w:hAnsi="Times New Roman"/>
          <w:color w:val="000000"/>
          <w:sz w:val="20"/>
        </w:rPr>
        <w:t xml:space="preserve">. These include contingent put and contingent interest features that are not clearly and closely related to the debt host. The bifurcated derivative liability is recorded at fair value, with changes in fair value recognized in earnings. The Company assesses the fair value of the derivative liability at each reporting date until modification or extinguishment of the debt host’s contract. Refer to </w:t>
      </w:r>
      <w:r>
        <w:rPr>
          <w:rFonts w:ascii="Times New Roman" w:hAnsi="Times New Roman"/>
          <w:i/>
          <w:color w:val="000000"/>
          <w:sz w:val="20"/>
        </w:rPr>
        <w:t xml:space="preserve">Note 6, Fair Value Measurements, </w:t>
      </w:r>
      <w:r>
        <w:rPr>
          <w:rFonts w:ascii="Times New Roman" w:hAnsi="Times New Roman"/>
          <w:color w:val="000000"/>
          <w:sz w:val="20"/>
        </w:rPr>
        <w:t>for additional information regarding the Company’s recurring adjustments to the fair value of the embedded derivative liability of the Senior Secured Promissory Notes.</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23, 2025, the Company entered into an amended and restated note purchase agreement (“Amended NPA”) and provided Purchasers with the option to exchange their existing Senior Secured Promissory Notes for senior secured convertible notes under the Amended NPA (the “Senior Secured Convertible Notes”). In comparison to the original agreement, the Amended NPA (1) increased the aggregate principal capacity to $130.0 million; (2) revised certain default covenants; (3) introduced a new mandatory conversion feature that automatically converts the Senior Secured Convertible Notes into common stock at a per share conversion price equal to the lesser of (i) 80% of the public offering price of a qualified Initial Public Offering (“IPO”) or (ii) $30.00; and (4) cancelled the Warrants for all holders exchanging their Senior Secured Promissory Notes for Senior Secured Convertible Notes. Purchasers that elected not to participate in the Senior Secured Convertible Notes maintained their Warrants with no modifications to their terms. As part of the Amended NPA, all but two Purchasers participated in the exchange of Senior Secured Promissory Notes for Senior Secured Convertible Notes, exchanging $50.6 million of outstanding principal and canceling $3.9 million of Warrants. Two Warrants to acquire 199,999 Series A preferred units remained outstanding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following such exchange. The Company recorded the newly issued Senior Secured Convertible Notes at fair value, $58.5 million (including the embedded derivative liability), due to it exceeding the carrying amount of the exchanged Senior Secured Promissory Notes. The exchange was accounted for as a debt extinguishment in accordance with ASC 480, resulting in a net loss on extinguishment of debt of $7.5 million presented in Loss on extinguishment of debt in the condensed consolidated statement of operations, and consisted of a gain on extinguishment of Warrants and a loss related to the additional value conveyed to the Purchasers in the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conjunction with the closing of the Company’s IPO, the Senior Secured Convertible Notes automatically converted into 22,363,700 shares of Class B common stock at a conversion price equal to 80% of the IPO price, or $6.40 per share. On November 19, 2025, as part of the Corporate Reorganization, the outstanding Warrant agreements were amended to be exercisable for an aggregate of 199,999 shares of Class B common stock rather than Series A preferred units. As a result of this modification, the Company determined that the Warrants met the criteria for equity classification and reclassified the Warrants’ liability at its approximate fair value, $0.7 million, from liabilities to stockholders’ equity. The modification did not result in a material gain or loss upon reclassification.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During the three months ended July 31, 2026 and 2025, total interest expense related to the Senior Secured Promissory Notes was $0.5 million and $1.9 million, respectively, including $0.3 million and $0.8 million of coupon interest; $0.1 million and $0.5 million of PIK Interest, and $0.1 million and $0.6 million of amortization of debt discounts and issuance costs, respectively. During the six months ended July 31, 2026 and 2025, total interest expense related to the Senior Secured Promissory Notes was $1.0 million and $4.4 million, respectively, including $0.5 million and $2.1 million of coupon interest; $0.2 million and $1.1 million of PIK interest, and $0.2 million and $1.2</w:t>
      </w:r>
      <w:r>
        <w:rPr>
          <w:rFonts w:ascii="Times New Roman" w:hAnsi="Times New Roman"/>
          <w:color w:val="0000FF"/>
          <w:sz w:val="20"/>
        </w:rPr>
        <w:t xml:space="preserve"> </w:t>
      </w:r>
      <w:r>
        <w:rPr>
          <w:rFonts w:ascii="Times New Roman" w:hAnsi="Times New Roman"/>
          <w:color w:val="000000"/>
          <w:sz w:val="20"/>
        </w:rPr>
        <w:t xml:space="preserve">million of amortization of debt discounts and issuance costs, respectively. The effective interest rate of the notes was 15.2% and 15.8% as of July 31, 2026 and January 31, 2026,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a total principal balance of $13.2 million, inclusive of PIK Interest remained outstanding to two Purchasers. As of July 31, 2026 and January 31, 2026, the fair value of the Senior Secured Promissory Notes was $12.3 million and $11.6 million, respectively. The estimated fair value, which the Company deems a Level 3 measurement, was determined by management based on an independent third-party valuation report.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Midwestern Promissory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January 3, 2025, the Company issued three promissory notes (the “Midwestern Notes”) as partial consideration for its investment in Midwestern. The Midwestern Notes, which are prepayable at any time by the Company without penalty, consist of (1) a $2.4 million note bearing interest at 4.8%, issued to Mr. Johnson, (2) a $6.5 million note bearing interest at 3.1%, issued to Flourish Holdings, Inc., and (3) a $3.2 million note bearing interest at 5.0%, to Flourish Holdings, Inc. The Company is required to make monthly principal and interest payments on each of the notes. In the event the notes are not paid upon maturity, the obligations under the Midwestern Notes will automatically bear interest at a rate equal to an additional 5.0% per annum over the rate otherwise applicable. Refer to </w:t>
      </w:r>
      <w:r>
        <w:rPr>
          <w:rFonts w:ascii="Times New Roman" w:hAnsi="Times New Roman"/>
          <w:i/>
          <w:color w:val="000000"/>
          <w:sz w:val="20"/>
        </w:rPr>
        <w:t xml:space="preserve">Note 16, Related Party Transactions, </w:t>
      </w:r>
      <w:r>
        <w:rPr>
          <w:rFonts w:ascii="Times New Roman" w:hAnsi="Times New Roman"/>
          <w:color w:val="000000"/>
          <w:sz w:val="20"/>
        </w:rPr>
        <w:t xml:space="preserve">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the estimated fair value of the Midwestern Notes was $5.4 million. The estimated fair value of the notes, which the Company deems a Level 3 measurement, was determined based on an independent third-party valuation report. Total interest expense was not material for the three months ended July 31, 2026. Total interest expense was $0.1 million for the six months ended July 31, 2026. Total interest expense was $0.1 million and $0.2 million for the three and six months ended July 31, 2025, respectively. The weighted-average effective interest rate of the Midwestern Notes was 3.8% as of both July 31, 2026 and January 31, 2026.</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Igniter Promissory Note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August 29, 2025, the Company issued the promissory note (the “Igniter Promissory Note”) with related parties and affiliates as partial consideration for the acquisition of Creative Group, LLC and its wholly-owned subsidiaries (the “Igniter Group”). The Igniter Promissory Note, which is prepayable at any time by the Company without penalty, totaled $6.6 million and bears interest at a fixed annual rate of 6.0%. The Company is required to make quarterly principal and interest payments on the note. In the event of default, all obligations immediately become due. Refer to </w:t>
      </w:r>
      <w:r>
        <w:rPr>
          <w:rFonts w:ascii="Times New Roman" w:hAnsi="Times New Roman"/>
          <w:i/>
          <w:color w:val="000000"/>
          <w:sz w:val="20"/>
        </w:rPr>
        <w:t xml:space="preserve">Note 16, Related Party Transactions, </w:t>
      </w:r>
      <w:r>
        <w:rPr>
          <w:rFonts w:ascii="Times New Roman" w:hAnsi="Times New Roman"/>
          <w:color w:val="000000"/>
          <w:sz w:val="20"/>
        </w:rPr>
        <w:t>for additional information. The effective interest rate of the Igniter Promissory Note was 10.4%, as of both July 31, 2026 and January 31, 2026.</w:t>
      </w:r>
    </w:p>
    <w:p>
      <w:pPr>
        <w:pStyle w:val="TextBody"/>
        <w:bidi w:val="0"/>
        <w:spacing w:before="240" w:after="283"/>
        <w:jc w:val="both"/>
        <w:rPr>
          <w:rFonts w:ascii="Times New Roman" w:hAnsi="Times New Roman"/>
          <w:sz w:val="20"/>
        </w:rPr>
      </w:pPr>
      <w:r>
        <w:rPr>
          <w:rFonts w:ascii="Times New Roman" w:hAnsi="Times New Roman"/>
          <w:color w:val="000000"/>
          <w:sz w:val="20"/>
        </w:rPr>
        <w:t>As of July 31, 2026, the estimated fair value of the Igniter Promissory Note was $5.0 million. The estimated fair value of the note, which the Company deems a Level 3 measurement, was determined based on an independent third-party valuation report. Total interest expense was $0.1 million and $0.3</w:t>
      </w:r>
      <w:r>
        <w:rPr>
          <w:rFonts w:ascii="Times New Roman" w:hAnsi="Times New Roman"/>
          <w:color w:val="0000FF"/>
          <w:sz w:val="20"/>
        </w:rPr>
        <w:t xml:space="preserve"> </w:t>
      </w:r>
      <w:r>
        <w:rPr>
          <w:rFonts w:ascii="Times New Roman" w:hAnsi="Times New Roman"/>
          <w:color w:val="000000"/>
          <w:sz w:val="20"/>
        </w:rPr>
        <w:t>million</w:t>
      </w:r>
      <w:r>
        <w:rPr>
          <w:rFonts w:ascii="Times New Roman" w:hAnsi="Times New Roman"/>
          <w:color w:val="0000FF"/>
          <w:sz w:val="20"/>
        </w:rPr>
        <w:t xml:space="preserve"> </w:t>
      </w:r>
      <w:r>
        <w:rPr>
          <w:rFonts w:ascii="Times New Roman" w:hAnsi="Times New Roman"/>
          <w:color w:val="000000"/>
          <w:sz w:val="20"/>
        </w:rPr>
        <w:t>for the three and six months ended July 31, 2026, respectively.</w:t>
      </w:r>
    </w:p>
    <w:p>
      <w:pPr>
        <w:pStyle w:val="TextBody"/>
        <w:bidi w:val="0"/>
        <w:spacing w:before="240" w:after="283"/>
        <w:jc w:val="both"/>
        <w:rPr>
          <w:rFonts w:ascii="Times New Roman" w:hAnsi="Times New Roman"/>
          <w:sz w:val="20"/>
        </w:rPr>
      </w:pPr>
      <w:r>
        <w:rPr>
          <w:rFonts w:ascii="Times New Roman" w:hAnsi="Times New Roman"/>
          <w:b/>
          <w:i/>
          <w:color w:val="000000"/>
          <w:sz w:val="20"/>
        </w:rPr>
        <w:t>EMD Promissory Note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consideration for the EMD Acquisition, the Company issued a promissory note to the seller in the EMD Acquisition (the “EMD Promissory Note”). The EMD Promissory Note had a principal balance of $3.8 million which bears interest at a fixed annual rate of 5.5% and is scheduled to mature on April 30, 2029. The Company is required to make quarterly principal and interest payments on the note. Total interest expense was $0.1 million for the three and six months ended July 31, 2026, respectively.</w:t>
      </w:r>
    </w:p>
    <w:p>
      <w:pPr>
        <w:pStyle w:val="TextBody"/>
        <w:bidi w:val="0"/>
        <w:spacing w:before="24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effective tax rate for the three months ended July 31, 2026 and 2025 was 2.21% and 0.60%, respectively. The effective tax rate for the six months ended July 31, 2026 and 2025 was 3.36% and 0.41%,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The effective tax rate for the three and six months ended July 31, 2026, was primarily impacted by the following items: (i) permanent adjustments, (ii) state taxes, and (iii) the change in valuation allowance</w:t>
      </w:r>
      <w:r>
        <w:rPr>
          <w:rFonts w:ascii="Arial" w:hAnsi="Arial"/>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tax rate for the three and six months ended July 31, 2025, was primarily impacted by the following items: (i) non-taxable entities, (ii) permanent adjustments, (iii) state taxes, and (iv) the change in valuation allowance. Accordingly, a separate estimated annual effective tax rate (“AETR”) is computed and applied to ordinary losses in the applicable jurisdictions.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the Company has not commenced any offering period or purchase period under the Gloo Holdings, Inc. 2025 Employee Stock Purchase Plan (the “ESPP”), and no shares have been issued under the ESPP.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Equity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there were 17.4 million shares of Class A common stock available for equity award issuance under the Gloo Holdings, Inc. 2025 Equity Incentive Plan (the “2025 Plan”). The number of shares available for issuance under the 2025 Plan shall be automatically increased by (i) the number of shares subject to awards granted under the Gloo Holdings, LLC Membership Unit Option Plan (the “2014 Plan”) that expire or otherwise terminate without having been exercised, or are withheld by the Company for payment of exercise price or for tax withholding obligations, with the maximum number of such shares to be added to the 2025 Plan equal to 4,356,272 and (ii) the lesser of (a) 10,800,000 shares, (b) five percent of the total number of shares of all classes of common stock of the Company outstanding on the last day of the immediately preceding fiscal year, or (c) such number of shares determined by the board of directors no later than the last day of the immediately preceding fiscal year, with such increase under (ii) effective on the first day of each fiscal year beginning February 1,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grant date fair value of each option issued under both the 2014 Plan and the 2025 Plan was estimated using a Black-Scholes model. The weighted average estimated grant-date fair value of stock options granted under the 2014 Plan was $4.62 per unit during the six months ended July 31, 2025. The weighted average estimated grant-date fair value of stock options granted under the 2025 Plan was $3.37 per share for the six months ended July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options granted under the 2014 Plan and 2025 Plan are equity classified. The following table summarizes the activity during the six months ended July 31, 2026, of options granted under the 2014 Plan and 2025 Plan:</w:t>
      </w:r>
    </w:p>
    <w:p>
      <w:pPr>
        <w:pStyle w:val="TextBody"/>
        <w:bidi w:val="0"/>
        <w:spacing w:before="240" w:after="283"/>
        <w:jc w:val="both"/>
        <w:rPr/>
      </w:pPr>
      <w:r>
        <w:rPr/>
        <w:t> </w:t>
      </w:r>
    </w:p>
    <w:tbl>
      <w:tblPr>
        <w:tblW w:w="7890" w:type="dxa"/>
        <w:jc w:val="left"/>
        <w:tblInd w:w="0" w:type="dxa"/>
        <w:tblLayout w:type="fixed"/>
        <w:tblCellMar>
          <w:top w:w="28" w:type="dxa"/>
          <w:left w:w="28" w:type="dxa"/>
          <w:bottom w:w="28" w:type="dxa"/>
          <w:right w:w="28" w:type="dxa"/>
        </w:tblCellMar>
      </w:tblPr>
      <w:tblGrid>
        <w:gridCol w:w="2596"/>
        <w:gridCol w:w="146"/>
        <w:gridCol w:w="173"/>
        <w:gridCol w:w="712"/>
        <w:gridCol w:w="166"/>
        <w:gridCol w:w="146"/>
        <w:gridCol w:w="288"/>
        <w:gridCol w:w="214"/>
        <w:gridCol w:w="623"/>
        <w:gridCol w:w="146"/>
        <w:gridCol w:w="146"/>
        <w:gridCol w:w="320"/>
        <w:gridCol w:w="760"/>
        <w:gridCol w:w="146"/>
        <w:gridCol w:w="146"/>
        <w:gridCol w:w="248"/>
        <w:gridCol w:w="184"/>
        <w:gridCol w:w="439"/>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 except weighted-average exercise price)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July 31, 2026, the options exercised were immaterial, the cash received for the options exercised was $0.1 million and the total intrinsic value of the options exercised was immaterial.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stock-based compensation expense related to stock options was $2.2 million and $5.1 million during the three and six months ended July 31, 2026, respectively. The total stock based compensation expense related to stock options was $1.2 million and $1.9 million during the three and six months ended July 31, 2025, respectively. For the three and six months ended July 31, 2026, the Company’s capitalized stock-based compensation costs were immaterial and $0.1 million, respectively. These costs were immaterial for the comparative periods in 2025. As of July 31, 2026, there was approximately $32.3 million of unrecognized equity-based compensation related to unvested options to be expensed over a weighted average period of 3.7 years. </w:t>
      </w:r>
    </w:p>
    <w:p>
      <w:pPr>
        <w:pStyle w:val="TextBody"/>
        <w:bidi w:val="0"/>
        <w:jc w:val="both"/>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combined Class A and Class B restricted stock activity for the six months ended July 31, 2026:</w:t>
      </w:r>
    </w:p>
    <w:p>
      <w:pPr>
        <w:pStyle w:val="TextBody"/>
        <w:bidi w:val="0"/>
        <w:spacing w:before="240" w:after="283"/>
        <w:jc w:val="both"/>
        <w:rPr/>
      </w:pPr>
      <w:r>
        <w:rPr/>
        <w:t> </w:t>
      </w:r>
    </w:p>
    <w:tbl>
      <w:tblPr>
        <w:tblW w:w="6729" w:type="dxa"/>
        <w:jc w:val="left"/>
        <w:tblInd w:w="0" w:type="dxa"/>
        <w:tblLayout w:type="fixed"/>
        <w:tblCellMar>
          <w:top w:w="28" w:type="dxa"/>
          <w:left w:w="28" w:type="dxa"/>
          <w:bottom w:w="28" w:type="dxa"/>
          <w:right w:w="28" w:type="dxa"/>
        </w:tblCellMar>
      </w:tblPr>
      <w:tblGrid>
        <w:gridCol w:w="2341"/>
        <w:gridCol w:w="146"/>
        <w:gridCol w:w="310"/>
        <w:gridCol w:w="800"/>
        <w:gridCol w:w="146"/>
        <w:gridCol w:w="146"/>
        <w:gridCol w:w="724"/>
        <w:gridCol w:w="538"/>
        <w:gridCol w:w="1287"/>
        <w:gridCol w:w="2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 Fair Value (per Unit)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$0.5 million and $1.0 million of stock-based compensation expense related to awards of Class A restricted stock awards (“RSAs”) and Class B RSAs during the three and six months ended July 31, 2026, respectively. Remaining unamortized expense of $5.5 million is expected to be recognized over a weighted average period of 2.8 years.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ended January 31, 2026, the Company granted 150,000 restricted stock units (“RSUs”), which had a grant date fair value of $8.00 per unit, in connection with initial appointments to the board of directors, with an aggregate grant-date fair value of $1.2 million. The RSUs vest in two equal tranches upon the first and second annual stockholders’ meetings following the grant date. Upon the vesting of the first tranche, 75,000 shares of Class A common stock were issued during the six months ended July 31,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$0.2 million and $0.4 million of stock-based compensation expense related to RSUs during the three and six months ended July 31, 2026, respectively. As of July 31, 2026, the remaining 75,000 RSUs granted remained outstanding. Remaining unamortized expense of $0.5 million is expected to be recognized over a weighted average period of 0.9 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19, 2025, the Company completed a series of internal organizational transactions (the Corporate Reorganization) pursuant to which Gloo Holdings, LLC became a wholly owned subsidiary of Gloo Holdings, Inc., a Delaware corporation. As part of these transactions, all existing common and preferred membership units of Gloo Holdings, LLC outstanding immediately prior to the consummation of such transactions were exchanged for shares of Class B common stock of Gloo Holdings, Inc. on a three-for-one basis (the “Reverse Split”) in preparation for the IPO. Following the Corporate Reorganization, the Company’s Class A common stock began trading on the Nasdaq under the symbol “GLOO.”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Corporate Reorganization was accounted for as a transaction among entities under common control with no change to the historical basis of the Company’s assets and liabilities. Please refer to </w:t>
      </w:r>
      <w:r>
        <w:rPr>
          <w:rFonts w:ascii="Times New Roman" w:hAnsi="Times New Roman"/>
          <w:i/>
          <w:color w:val="000000"/>
          <w:sz w:val="20"/>
        </w:rPr>
        <w:t>Note 18, Stockholders’ Equity and Members’ Deficit,</w:t>
      </w:r>
      <w:r>
        <w:rPr>
          <w:rFonts w:ascii="Times New Roman" w:hAnsi="Times New Roman"/>
          <w:color w:val="000000"/>
          <w:sz w:val="20"/>
        </w:rPr>
        <w:t xml:space="preserve"> included in the Company’s Annual Report on Form 10-K for the year ended January 31, 2026, for additional information. Unless stated otherwise, all historical unit, warrant, option, and per-unit information presented in the consolidated financial statements has been retrospectively adjusted, where applicable, to reflect the Reverse Split for all periods presented.</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Immediately prior to the Corporate Reorganization, the certificate of incorporation of Gloo Holdings, Inc. was amended and restated to, among other things, provide for the authorization of (i) 5.0 billion shares of Class A common stock, par value $0.001 per share, (ii) 100.0 million shares of Class B common stock, par value $0.001 per share, and (iii) 100.0 million shares of preferred stock, par value $0.001 per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July 2026, the Company completed an underwritten follow-on public offering of 7,853,787 shares of Class A common stock, inclusive of the underwriters’ partial exercise of their option to purchase additional shares of its Class A common stock, at a public offering price of $3.25 per share. The Company received net proceeds of approximately $23.7 million, after deducting underwriting discounts, commissions and offering expenses of $1.9 million.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Company’s amended and restated certificate of incorporation and bylaws, the board of directors may, without further action by stockholders, issue up to 100.0 million shares of preferred stock, par value $0.001 per share, in one or more series. The board of directors may fix the designation and number of shares of each series and the rights, preferences and privileges, and the qualifications, limitations and restrictions thereof, including dividend rights and rates, conversion rights, voting rights, redemption terms, liquidation preference and sinking fund provisions. The issuance of preferred stock could, among other things, adversely affect the voting power or other rights of holders of common stock and could delay, defer or prevent a change in control. No shares of preferred stock were issued or outstanding as of July 31, 2026.</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entered into a number of transactions with entities affiliated with members of its board of directors and other related parties.</w:t>
      </w:r>
    </w:p>
    <w:p>
      <w:pPr>
        <w:pStyle w:val="TextBody"/>
        <w:bidi w:val="0"/>
        <w:spacing w:before="240" w:after="283"/>
        <w:jc w:val="both"/>
        <w:rPr>
          <w:rFonts w:ascii="Times New Roman" w:hAnsi="Times New Roman"/>
          <w:sz w:val="20"/>
        </w:rPr>
      </w:pPr>
      <w:r>
        <w:rPr>
          <w:rFonts w:ascii="Times New Roman" w:hAnsi="Times New Roman"/>
          <w:b/>
          <w:i/>
          <w:color w:val="000000"/>
          <w:sz w:val="20"/>
        </w:rPr>
        <w:t>Igniter Note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discussed in </w:t>
      </w:r>
      <w:r>
        <w:rPr>
          <w:rFonts w:ascii="Times New Roman" w:hAnsi="Times New Roman"/>
          <w:i/>
          <w:color w:val="000000"/>
          <w:sz w:val="20"/>
        </w:rPr>
        <w:t>Note 12, Debt</w:t>
      </w:r>
      <w:r>
        <w:rPr>
          <w:rFonts w:ascii="Times New Roman" w:hAnsi="Times New Roman"/>
          <w:color w:val="000000"/>
          <w:sz w:val="20"/>
        </w:rPr>
        <w:t>, on August 29, 2025, the Company issued the Igniter Promissory Note due to the sellers in the amount of $6.6 million as part of the consideration for the acquisition of Igniter Group. The Igniter Promissory Note, which is prepayable at any time by the Company without penalty, totaled $5.7 million as of July 31, 2026, and bears interest at a fixed annual rate of 6.0%.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Midwestern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discussed in </w:t>
      </w:r>
      <w:r>
        <w:rPr>
          <w:rFonts w:ascii="Times New Roman" w:hAnsi="Times New Roman"/>
          <w:i/>
          <w:color w:val="000000"/>
          <w:sz w:val="20"/>
        </w:rPr>
        <w:t>Note 12</w:t>
      </w:r>
      <w:r>
        <w:rPr>
          <w:rFonts w:ascii="Times New Roman" w:hAnsi="Times New Roman"/>
          <w:color w:val="000000"/>
          <w:sz w:val="20"/>
        </w:rPr>
        <w:t xml:space="preserve">, </w:t>
      </w:r>
      <w:r>
        <w:rPr>
          <w:rFonts w:ascii="Times New Roman" w:hAnsi="Times New Roman"/>
          <w:i/>
          <w:color w:val="000000"/>
          <w:sz w:val="20"/>
        </w:rPr>
        <w:t>Debt</w:t>
      </w:r>
      <w:r>
        <w:rPr>
          <w:rFonts w:ascii="Times New Roman" w:hAnsi="Times New Roman"/>
          <w:color w:val="000000"/>
          <w:sz w:val="20"/>
        </w:rPr>
        <w:t>, on January 3, 2025, the Company issued the Midwestern Notes as partial consideration for its acquisition of Midwestern. The Midwestern Notes, which are prepayable at any time by the Company without penalty, consist of (1) a $2.4 million note bearing interest at 4.8%, issued to Mr. Johnson, (2) a $6.5 million note bearing interest at 3.1%, issued to Flourish Holdings, Inc., and (3) a $3.2 million note bearing interest at 5.0%, to Flourish Holdings, Inc. Mr. Johnson is the chief executive officer of Midwestern, one of the Company’s consolidated subsidiaries, and is the sole owner of Flourish Holdings, Inc. The Midwestern Notes, which are repayable at any time by the Company without penalty, totaled $8.9 million and $9.9 million as of July 31, 2026, and January 31, 2026,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Outreach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1, 2024, the Company’s subsidiary, Outreach, entered into a line of credit agreement bearing interest at 6.0%, with an entity controlled by a member of the subsidiary’s management. On November 19, 2025, all outstanding borrowings under the line of credit were rolled into a loan agreement bearing interest at a fixed rate of 8%. As of July 31, 2026 and January 31, 2026, the unpaid principal totaled $0.7 million and $0.8 million, respectively. The outstanding balance as of July 31, 2026 matures on April 21, 2029.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described in </w:t>
      </w:r>
      <w:r>
        <w:rPr>
          <w:rFonts w:ascii="Times New Roman" w:hAnsi="Times New Roman"/>
          <w:i/>
          <w:color w:val="000000"/>
          <w:sz w:val="20"/>
        </w:rPr>
        <w:t>Note 12, Debt</w:t>
      </w:r>
      <w:r>
        <w:rPr>
          <w:rFonts w:ascii="Times New Roman" w:hAnsi="Times New Roman"/>
          <w:color w:val="000000"/>
          <w:sz w:val="20"/>
        </w:rPr>
        <w:t xml:space="preserve">, on April 23, 2024, the Company entered into a Note Purchase Agreement with Pearl Street Trust (an entity controlled by Scott Beck) and certain other purchasers, under which it issued Senior Secured Notes totaling $45.0 million to Pearl Street Trust across multiple tranches throughout the fiscal year ended January 31, 2025, each bearing interest at 8% plus a floating SOFR-based margin, with a floor of 1%, and maturing in April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24, 2024, the Company issued a $10.0 million Senior Secured Note under the Note Purchase Agreement to FMAB Partners, LP (“FMAB”), an entity affiliated with Mr. Furst, who also served as collateral agent under the security agreement associated with the Note Purchase Agreement. As of July 31, 2026 and January 31, 2026, FMAB's Senior Secured Note had a carrying balance of $11.0 million and $10.8 million, respectively, inclusive of PIK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the same date as the FMAB note issuance, Pearl Street Trust and Scott Beck jointly and severally guaranteed repayment of the FMAB note under a guaranty agreement, enforceable upon demand if a defined Event of Default remains uncured for at least 90 days. As of July 31, 2026, of the above issuances, only FMAB's Senior Secured Note and Warrants remained outstanding.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entered into two operating leases for the occupancy of office space in two separate building complexes in Boulder, Colorado, with an entity that is controlled by the CEO of the Company. The Company has evaluated the relationship with these related parties and concluded that the related party is not a variable interest entity because the Company has no direct ownership interest or relationship with the related party other than the leases. The leases both commenced on January 1, 2023, both having a term of three years with two three-year extension options. Upon the commencement of each extension term, the base rent shall be adjusted to reflect any percentage increase in the Consumer Price Index since the preceding reference index date. Following each such extension, the number of remaining extension terms shall be reduced accordingly, or eliminated if none remain. On both properties, the Company pays rent, real estate taxes, insurance, and operating expenses related to maintenance and operating costs that arise from the use of the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 2024, the Company acquired 100% of the equity ownership of Outreach Media, Inc. As part of this transaction, the Company acquired two operating leases for the occupancy of office and warehouse spaces in Colorado Springs, Colorado, each with entities controlled by a member of the subsidiary’s management. In addition to the lease arrangements, the leasing entity and the subsidiary are parties to a related-party loan arrangement, as further described in the “Outreach Note” section above. The leases both commenced on January 2, 2024, both having a term of seven years with no extension options. On one of the properties, the Company pays operating expenses related to maintenance and operating costs that arise from the use of the property. Additionally, the Company recognized an asset on both of the leases related to the fair value of the below-market component included in the acquired leases. The Company has determined that the leases are both operating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11, 2025, the Company completed the acquisition of Midwestern Interactive, LLC. In connection with this acquisition, the Company assumed four operating leases for the occupancy of office space with an entity owned by Midwestern’s chief executive officer. Each of the leases has a remaining term of five years. The Company has determined that the leases are operating leases.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lease cost related to related party leases recognized was $0.3 million for the three months ended July 31, 2026 and 2025, and $0.7 million and $0.6 million for the six months ended July 31, 2026 and 2025, respectively. The operating lease cost was allocated to General and administrative in the condensed consolidated statements of operations. The related party operating lease right-of-use assets of $4.2 million and $5.1 million as of July 31, 2026 and January 31, 2026 respectively, are recognized in ROU operating lease asset in the condensed consolidated balance sheets. The current and long-term portions of the related party lease liabilities as of July 31, 2026 were $0.9 million and $3.3 million, respectively, and were recognized within the current and non-current lease liability in the condensed consolidated balance sheets. The current and long-term portions of the related party lease liabilities as of January 31, 2026, were $1.0 million and $4.2 million, respectively, and were recognized within the current and non-current lease liability in the condensed consolidated balance sheets.</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July 31, 2026, one of the Company’s subsidiaries generated revenue of $0.7 million and $1.9 million, respectively, for services rendered to YouVersion, an entity of which a member of the Company’s board of directors is also the chief executive officer. For the three and six months ended July 31, 2025, one of the Company’s subsidiaries generated revenue of $0.4 million and $0.5 million for services rendered to YouVersion,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July 31, 2026 one of the Company’s subsidiaries generated revenue of $0.8 million and $1.8 million, respectively, for services provided to Come and See, an entity in which the chairman of its board is one of the subsidiary’s board members. For the three and six months ended July 31, 2025, one of the Company’s subsidiaries generated revenue of $0.8 million and $1.4 million for services provided to Come and See,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the three and six months ended July 31, 2026, one of the Company’s subsidiaries generated revenue of $0.1 million and $0.3</w:t>
      </w:r>
      <w:r>
        <w:rPr>
          <w:rFonts w:ascii="Times New Roman" w:hAnsi="Times New Roman"/>
          <w:color w:val="0000FF"/>
          <w:sz w:val="20"/>
        </w:rPr>
        <w:t xml:space="preserve">, </w:t>
      </w:r>
      <w:r>
        <w:rPr>
          <w:rFonts w:ascii="Times New Roman" w:hAnsi="Times New Roman"/>
          <w:color w:val="000000"/>
          <w:sz w:val="20"/>
        </w:rPr>
        <w:t xml:space="preserve">respectively, for services provided to Foundation for Healthy Relationships, an entity in which a member of the board also serves on the board of the subsidiary. </w:t>
      </w:r>
    </w:p>
    <w:p>
      <w:pPr>
        <w:pStyle w:val="TextBody"/>
        <w:bidi w:val="0"/>
        <w:spacing w:before="240" w:after="283"/>
        <w:jc w:val="both"/>
        <w:rPr>
          <w:rFonts w:ascii="Times New Roman" w:hAnsi="Times New Roman"/>
          <w:sz w:val="20"/>
        </w:rPr>
      </w:pPr>
      <w:r>
        <w:rPr>
          <w:rFonts w:ascii="Times New Roman" w:hAnsi="Times New Roman"/>
          <w:b/>
          <w:i/>
          <w:color w:val="000000"/>
          <w:sz w:val="20"/>
        </w:rPr>
        <w:t>Vendor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For the three and six months ended July 31, 2026, the Company incurred nil expenses, for strategic and executive consulting services, and</w:t>
      </w:r>
      <w:r>
        <w:rPr>
          <w:rFonts w:ascii="Times New Roman" w:hAnsi="Times New Roman"/>
          <w:color w:val="0000FF"/>
          <w:sz w:val="20"/>
        </w:rPr>
        <w:t xml:space="preserve"> </w:t>
      </w:r>
      <w:r>
        <w:rPr>
          <w:rFonts w:ascii="Times New Roman" w:hAnsi="Times New Roman"/>
          <w:color w:val="000000"/>
          <w:sz w:val="20"/>
        </w:rPr>
        <w:t>nil for engineering staffing services, provided by an entity controlled by the Company’s Chief Executive Officer and accounted for as an equity method investee until its acquisition on May 31, 2025. For the three and six months ended July 31, 2025, the Company incurred nil and $1.6 million of expenses for strategic and executive consulting services, and $0.6 million and $2.1 million, respectively for engineering staffing services provided by this entity.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Amounts incurred prior to the acquisition date are reflected as related-party transactions; amounts incurred during the year ended January 31, 2025, relate entirely to the pre-acquisition period. Engineering staffing services supported the development, maintenance, and enhancement of the Company’s AI platform. </w:t>
      </w:r>
    </w:p>
    <w:p>
      <w:pPr>
        <w:pStyle w:val="TextBody"/>
        <w:bidi w:val="0"/>
        <w:jc w:val="both"/>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Net Loss Per Share and Unit Available to Stockholders and Members of Gloo Holdings, Inc. and Gloo Holdings, LLC,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and unit available to stockholders and members of Gloo Holdings, Inc. and Gloo Holdings, LLC, respectively:</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960"/>
        <w:gridCol w:w="146"/>
        <w:gridCol w:w="196"/>
        <w:gridCol w:w="146"/>
        <w:gridCol w:w="916"/>
        <w:gridCol w:w="166"/>
        <w:gridCol w:w="146"/>
        <w:gridCol w:w="196"/>
        <w:gridCol w:w="146"/>
        <w:gridCol w:w="826"/>
        <w:gridCol w:w="166"/>
        <w:gridCol w:w="146"/>
        <w:gridCol w:w="196"/>
        <w:gridCol w:w="146"/>
        <w:gridCol w:w="916"/>
        <w:gridCol w:w="166"/>
        <w:gridCol w:w="146"/>
        <w:gridCol w:w="196"/>
        <w:gridCol w:w="146"/>
        <w:gridCol w:w="826"/>
        <w:gridCol w:w="311"/>
      </w:tblGrid>
      <w:tr>
        <w:trPr/>
        <w:tc>
          <w:tcPr>
            <w:tcW w:w="3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92"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 except share/unit and per share and unit data)</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 attributable to stockholders and members of Gloo Holdings, Inc. and Gloo Holdings, LLC,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Undeclared cumulative dividends on Series A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Deemed dividend for conversion of Member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 available to common stockholders and members of Gloo Holdings, Inc. and Gloo Holdings, LLC, respectively,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(85,480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 xml:space="preserve">Weighted-average common shares (Class A and Class B) of Gloo Holdings, Inc. and units of Gloo Holdings, LLC used to compute net loss per unit, respectively, basic and diluted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84,096,399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8,217,024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81,406,063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8,217,024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attributable to common stockholders of Gloo Holdings, Inc. (Class A and Class B) and units of members of Gloo Holdings, LLC,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rFonts w:ascii="Times New Roman" w:hAnsi="Times New Roman"/>
          <w:sz w:val="14"/>
        </w:rPr>
      </w:pPr>
      <w:r>
        <w:rPr>
          <w:rFonts w:ascii="Times New Roman" w:hAnsi="Times New Roman"/>
          <w:color w:val="000000"/>
          <w:sz w:val="14"/>
        </w:rPr>
        <w:t xml:space="preserve">Included in weighted average shares of Gloo Holdings, Inc are 197,663 of exchangeable shares. Refer to </w:t>
      </w:r>
      <w:r>
        <w:rPr>
          <w:rFonts w:ascii="Times New Roman" w:hAnsi="Times New Roman"/>
          <w:i/>
          <w:color w:val="000000"/>
          <w:sz w:val="14"/>
        </w:rPr>
        <w:t>Note 18, Stockholders’ Equity and Members’ Deficit</w:t>
      </w:r>
      <w:r>
        <w:rPr>
          <w:rFonts w:ascii="Times New Roman" w:hAnsi="Times New Roman"/>
          <w:color w:val="000000"/>
          <w:sz w:val="14"/>
        </w:rPr>
        <w:t xml:space="preserve"> </w:t>
      </w:r>
    </w:p>
    <w:p>
      <w:pPr>
        <w:pStyle w:val="TextBody"/>
        <w:bidi w:val="0"/>
        <w:jc w:val="both"/>
        <w:rPr>
          <w:rFonts w:ascii="Times New Roman" w:hAnsi="Times New Roman"/>
          <w:color w:val="000000"/>
          <w:sz w:val="14"/>
        </w:rPr>
      </w:pPr>
      <w:r>
        <w:rPr>
          <w:rFonts w:ascii="Times New Roman" w:hAnsi="Times New Roman"/>
          <w:color w:val="000000"/>
          <w:sz w:val="14"/>
        </w:rPr>
        <w:t xml:space="preserve">included in the Company’s Annual Report on Form 10-K for the year ended January 31, 2026, for additional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outstanding securities were excluded from the computation of diluted loss per share and unit available to common stockholders and members of Gloo Holdings, Inc. and Gloo Holdings, LLC because their effect was anti-dilutive:</w:t>
      </w:r>
    </w:p>
    <w:p>
      <w:pPr>
        <w:pStyle w:val="TextBody"/>
        <w:bidi w:val="0"/>
        <w:jc w:val="both"/>
        <w:rPr/>
      </w:pPr>
      <w:r>
        <w:rPr/>
        <w:t> </w:t>
      </w:r>
    </w:p>
    <w:tbl>
      <w:tblPr>
        <w:tblW w:w="8506" w:type="dxa"/>
        <w:jc w:val="left"/>
        <w:tblInd w:w="0" w:type="dxa"/>
        <w:tblLayout w:type="fixed"/>
        <w:tblCellMar>
          <w:top w:w="28" w:type="dxa"/>
          <w:left w:w="28" w:type="dxa"/>
          <w:bottom w:w="28" w:type="dxa"/>
          <w:right w:w="28" w:type="dxa"/>
        </w:tblCellMar>
      </w:tblPr>
      <w:tblGrid>
        <w:gridCol w:w="2461"/>
        <w:gridCol w:w="146"/>
        <w:gridCol w:w="146"/>
        <w:gridCol w:w="146"/>
        <w:gridCol w:w="916"/>
        <w:gridCol w:w="146"/>
        <w:gridCol w:w="146"/>
        <w:gridCol w:w="146"/>
        <w:gridCol w:w="146"/>
        <w:gridCol w:w="916"/>
        <w:gridCol w:w="146"/>
        <w:gridCol w:w="146"/>
        <w:gridCol w:w="146"/>
        <w:gridCol w:w="146"/>
        <w:gridCol w:w="916"/>
        <w:gridCol w:w="146"/>
        <w:gridCol w:w="146"/>
        <w:gridCol w:w="146"/>
        <w:gridCol w:w="146"/>
        <w:gridCol w:w="91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13,363,738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4,756,392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13,363,738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4,756,392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Exchangeable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38,477,269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38,477,269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14,002,771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47,217,382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14,002,771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47,217,382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operates as a single operating segment, the Gloo segment, consistent with how its Chief Operating Decision Maker (“CODM”), Chief Executive Officer, Scott Beck, reviews financial information, assesses performance and allocates resources. The Company primarily derives its revenue within the United States by providing a breadth of products, services and solutions to the faith-based ecosystem.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CODM uses revenue, operating expenses, and net loss as reported in the Company’s condensed consolidated statements of operations to identify underlying trends in the performance of its business, make comparisons with the financial performance of its competitors, and determine how to allocate resources of the Company as a whole. The CODM does not review assets in evaluating the results of the Gloo segment, and therefore, such information is not repeated in this disclosure.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significant expenses and other segment items of the Gloo segment, as regularly provided to its CODM:</w:t>
      </w:r>
    </w:p>
    <w:p>
      <w:pPr>
        <w:pStyle w:val="TextBody"/>
        <w:bidi w:val="0"/>
        <w:spacing w:before="240" w:after="283"/>
        <w:jc w:val="both"/>
        <w:rPr/>
      </w:pPr>
      <w:r>
        <w:rPr/>
        <w:t> </w:t>
      </w:r>
    </w:p>
    <w:tbl>
      <w:tblPr>
        <w:tblW w:w="7766" w:type="dxa"/>
        <w:jc w:val="left"/>
        <w:tblInd w:w="0" w:type="dxa"/>
        <w:tblLayout w:type="fixed"/>
        <w:tblCellMar>
          <w:top w:w="28" w:type="dxa"/>
          <w:left w:w="28" w:type="dxa"/>
          <w:bottom w:w="28" w:type="dxa"/>
          <w:right w:w="28" w:type="dxa"/>
        </w:tblCellMar>
      </w:tblPr>
      <w:tblGrid>
        <w:gridCol w:w="2381"/>
        <w:gridCol w:w="146"/>
        <w:gridCol w:w="196"/>
        <w:gridCol w:w="146"/>
        <w:gridCol w:w="661"/>
        <w:gridCol w:w="166"/>
        <w:gridCol w:w="146"/>
        <w:gridCol w:w="196"/>
        <w:gridCol w:w="146"/>
        <w:gridCol w:w="661"/>
        <w:gridCol w:w="166"/>
        <w:gridCol w:w="146"/>
        <w:gridCol w:w="196"/>
        <w:gridCol w:w="146"/>
        <w:gridCol w:w="661"/>
        <w:gridCol w:w="166"/>
        <w:gridCol w:w="146"/>
        <w:gridCol w:w="196"/>
        <w:gridCol w:w="146"/>
        <w:gridCol w:w="661"/>
        <w:gridCol w:w="291"/>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2"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Cost of revenue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Hosting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Maintenance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Rent and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Advertising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Travel and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Abandonment of Cap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 xml:space="preserve">Other segment expense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Excludes depreciation and amortization.</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Other segment items primarily include interest expense; other income (expense), net; and income tax (expense) benefit as reported in its condensed consolidated statements of operations.</w:t>
      </w:r>
    </w:p>
    <w:p>
      <w:pPr>
        <w:pStyle w:val="TextBody"/>
        <w:bidi w:val="0"/>
        <w:spacing w:before="4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19. Investments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Investments held at cost represent interests in privately held entities that invest in underlying portfolio companies. These privately held entities generally do not engage in significant operating activities and instead serve as investment vehicles through which the Company obtains indirect ownership interests in privately held businesses.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May 4, 2026, the Company converted an outstanding accounts receivable balance of $1.1 million into a minority equity interest in a privately held entity. The investment does not have a readily determinable fair value and does not provide the Company with the ability to exercise significant influence over the investee. Accordingly, the investment is accounted for pursuant to ASC 321, </w:t>
      </w:r>
      <w:r>
        <w:rPr>
          <w:rFonts w:ascii="Times New Roman" w:hAnsi="Times New Roman"/>
          <w:i/>
          <w:color w:val="000000"/>
          <w:sz w:val="20"/>
        </w:rPr>
        <w:t>Investments - Equity Securities</w:t>
      </w:r>
      <w:r>
        <w:rPr>
          <w:rFonts w:ascii="Times New Roman" w:hAnsi="Times New Roman"/>
          <w:color w:val="000000"/>
          <w:sz w:val="20"/>
        </w:rPr>
        <w:t xml:space="preserve">, using the measurement alternative and is recorded at cost, less impairment, adjusted for observable price changes resulting from orderly transactions for an identical or similar investment of the same issuer. The Company periodically evaluates the investment for impairment and considers observable transactions and other relevant indicators in determining whether any adjustments to the carrying value are required.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20. Subsequent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identified the following subsequent events.</w:t>
      </w:r>
    </w:p>
    <w:p>
      <w:pPr>
        <w:pStyle w:val="TextBody"/>
        <w:bidi w:val="0"/>
        <w:spacing w:before="240" w:after="283"/>
        <w:jc w:val="both"/>
        <w:rPr>
          <w:rFonts w:ascii="Times New Roman" w:hAnsi="Times New Roman"/>
          <w:sz w:val="20"/>
        </w:rPr>
      </w:pPr>
      <w:r>
        <w:rPr>
          <w:rFonts w:ascii="Times New Roman" w:hAnsi="Times New Roman"/>
          <w:i/>
          <w:color w:val="000000"/>
          <w:sz w:val="20"/>
        </w:rPr>
        <w:t>Midwestern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3, 2026, the Company acquired the remaining 20% of outstanding equity interests of Midwestern (the “Midwestern II Acquisition”). The consideration totaled $6.6 million which consisted of: cash of $2.2 million, promissory notes of $3.4 million, and Company equity of $1.0 million. In connection with the acquisition, the parties terminated the call option agreement governing the remaining equity interests, thereby terminating all rights and obligations thereunder and resulting in the derecognition of the related call-option liability. The Midwestern II Acquisition simplified the Company’s ownership structure and enabled full operational, talent, and leadership integration of Midwestern.</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Cedarstone Holdings, LLC</w:t>
      </w:r>
    </w:p>
    <w:p>
      <w:pPr>
        <w:pStyle w:val="TextBody"/>
        <w:bidi w:val="0"/>
        <w:spacing w:before="240" w:after="283"/>
        <w:jc w:val="both"/>
        <w:rPr>
          <w:rFonts w:ascii="Times New Roman" w:hAnsi="Times New Roman"/>
          <w:sz w:val="20"/>
        </w:rPr>
      </w:pPr>
      <w:r>
        <w:rPr>
          <w:rFonts w:ascii="Times New Roman" w:hAnsi="Times New Roman"/>
          <w:color w:val="000000"/>
          <w:sz w:val="20"/>
        </w:rPr>
        <w:t>On August 5, 2026, the Company entered into an agreement and plan of merger (the “Cedarstone Agreement”) to acquire all of the outstanding equity of Cedarstone Consulting, LLC (“Cedarstone”), which is an integrated business services firm providing finance and development outsourcing services to nonprofit organizations. The acquisition is expected to advance the Company’s applied AI strategy by delivering essential business outcomes through expertly managed financial and donor operations that enhance the Company’s current product offerings. The Merger closed on August 11, 2026. Under the Cedarstone Agreement, the Company agreed to transfer 989,117 shares of Class A common stock of Gloo Holdings, Inc, to the sellers, net closing cash consideration of approximately $1.1 million</w:t>
      </w:r>
      <w:r>
        <w:rPr>
          <w:rFonts w:ascii="Times New Roman" w:hAnsi="Times New Roman"/>
          <w:color w:val="0000FF"/>
          <w:sz w:val="20"/>
        </w:rPr>
        <w:t xml:space="preserve"> </w:t>
      </w:r>
      <w:r>
        <w:rPr>
          <w:rFonts w:ascii="Times New Roman" w:hAnsi="Times New Roman"/>
          <w:color w:val="000000"/>
          <w:sz w:val="20"/>
        </w:rPr>
        <w:t>and contingent consideration of up to $1.1 million. Other aspects of the purchase accounting have not been finalized as of the date the financial statements were issued.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Refinancing of Short Term Debt</w:t>
      </w:r>
    </w:p>
    <w:p>
      <w:pPr>
        <w:pStyle w:val="TextBody"/>
        <w:bidi w:val="0"/>
        <w:spacing w:before="240" w:after="283"/>
        <w:jc w:val="both"/>
        <w:rPr>
          <w:rFonts w:ascii="Times New Roman" w:hAnsi="Times New Roman"/>
          <w:sz w:val="20"/>
        </w:rPr>
      </w:pPr>
      <w:r>
        <w:rPr>
          <w:rFonts w:ascii="Times New Roman" w:hAnsi="Times New Roman"/>
          <w:color w:val="222222"/>
          <w:sz w:val="20"/>
        </w:rPr>
        <w:t xml:space="preserve">On September 7, 2026, the Company entered into a Second Amendment to certain of its Amended and Restated Senior Secured Promissory Notes (as previously amended, the “Notes”), including the Note dated July 22, 2024 with FMAB Partners, LP, an entity affiliated with Jack Furst, a director of the Company, which extends the maturity date of the Notes to April 23, 2028. All other terms and conditions remain the same. The Form of Second Amendment to the Amended and Restated Senior Secured Promissory Note is filed herewith as Exhibit 10.1 and is incorporated herein by reference. </w:t>
      </w:r>
      <w:r>
        <w:rPr>
          <w:rFonts w:ascii="Times New Roman" w:hAnsi="Times New Roman"/>
          <w:color w:val="000000"/>
          <w:sz w:val="20"/>
        </w:rPr>
        <w:t>As a result the Company reclassified $13.2 million from current debt to non-current debt on the condensed consolidated balance sheet as of July 31, 2026.</w:t>
      </w:r>
    </w:p>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managements_discussion_analysis"/>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Unless the context requires otherwise, references in this report to the “Company,” “we,” “us” and “our” refer to Gloo Holdings, LLC and its consolidated subsidiaries collectively before the Corporate Reorganization and to Gloo Holdings, Inc. and its consolidated subsidiaries after the Corporate Reorganization. The following Management’s Discussion and Analysis of Financial Condition and Results of Operations should be read together with our unaudited condensed consolidated financial statements and the related notes included elsewhere in this Quarterly Report on Form 10-Q and our audited consolidated financial statements and related notes included in our Annual Report on Form 10-K for the year ended January 31, 2026 (“Annual Report on Form 10-K”) filed with the SEC on April 15, 2026. Some of the information contained in this discussion and analysis, particularly information with respect to our plans and strategy for our business, includes forward-looking statements that involve risks and uncertainties. The section titled “Risk Factors” discusses the importance of factors that could cause actual results to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Gloo exists because we believe that the faith and flourishing ecosystem—among the oldest, largest and most resilient ecosystems in the world—must be connected to thrive. Our mission is to build the leading technology platform and AI infrastructure serving this ecosystem, which remains highly fragmented and materially underserved by modern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center of the faith and flourishing ecosystem are two interconnected groups: CFLs, which serve communities directly, and NCPs, which equip the CFLs with the tools, resources and infrastructure they need to succeed. In the U.S. alone, there are estimated to be over 415,000 Christian organizations, including over 315,000 Christian congregations leading mission-driven and nonprofit work in their communities, collectively addressing some of society’s most pressing social challenges.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Donations represent the economic engine of this ecosystem, funding the mission-driven work of faith based organizations. According to Kentley Insights, faith-based organizations of all religions generated over $265 billion in revenue in 2024, roughly double the pace of U.S. GDP growth. This underscores the scale of the opportunity and the importance of donor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scale, growth, and importance of this ecosystem create a significant opportunity to build the core technology infrastructure that enables CFLs and NCPs to operate more effectively, reach more people, increase their impact and facilitate more efficient exchange across the ecosystem. We address this opportunity through two core and reinforcing platform capabilities: Powering Tech and Powering Reach. Powering Tech solutions help our customers modernize their technology systems, data and workflows through a trusted, AI-enabled technology platform. Powering Reach solutions help our customers expand awareness, deepen engagement and increase donor support through differentiated media, marketing, fundraising and data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growing leadership in Applied AI increasingly strengthens both of these capabilities. We define Applied AI as AI applied to the operations, workflows and mission-critical activities of churches, ministries and nonprofits in ways that protect theological integrity, strengthen relational ministry and advance human flourishing. We are leveraging advances in agentic AI and foundational models and integrating AI capabilities across our platform to improve how our customers operate, engage their constituents and advance their missions.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acquisition strategy is an important part of expanding the capabilities, expertise and customer relationships across both Powering Tech and Powering Reach and building a stronger, more durable network. Each acquisition strengthens the broader Gloo platform, while creating additional opportunities to serve existing and new customers across our portfolio. Since becoming a public company, we have completed five acquisitions - Westfall Gold, XRI, Enterprise Marketdesk, Midwestern Interactive, and Cedarstone - expanding our capabilities in fundraising, media, marketing, donor development, technology, and accountancy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monetize these capabilities through four types of revenue: (1) subscriptions, (2) marketplace, (3) advertising and (4) platform solutions, the first three of which we account for as platform revenue. NCPs purchase enterprise subscriptions to outsourced technology and capabilities, advertising services, and platform solutions from Gloo. CFLs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purchase subscriptions to communication tools, content libraries, data insights and AI capabilities, and transact through e-commerce marketplaces operated by us and our Gloo Capital Partners, including Outreach, Inc., our largest online marketplace. Through these revenue streams, we generate revenue both from the technology and services organizations use to operate and from the capabilities they use to reach, engage and serve their communities.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Follow On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10, 2026, we completed a follow-on offering of 7,000,000 shares of Class A common stock at a public offering price of $3.25 per share. We received net proceeds of approximately $21.1 million, after deducting underwriting discounts, commissions and estimated offering expenses. On July 15, 2026, the underwriters partially exercised their option to purchase additional shares and purchased 853,787 additional shares of Class A common stock at the public offering price of $3.25 per share, resulting in additional net proceeds of approximately $2.6 million after deducting underwriting discounts and commissions. The proceeds have strengthened our liquidity and are expected to be used for general corporate purposes, including acquisitions and investments in businesses, products, services or technologies, working capital, operating expenses and capital expenditures.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Acquisition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 2026, we acquired EMD for a contractual purchase price $17.3 million and a GAAP purchase price of $16.8 million. EMD is a Workday Services Partner that helps organizations implement and optimize Workday through advisory and consulting services. The acquisition is expected to enhance the Company’s Gloo 360 portfolio by expanding its capabilities in enterprise technology enablement, operational efficiency, and data-driven decision-making. By helping to modernize work for customers through forward-deployed engineering and agentic AI, the Company expects to deliver better outcomes for its customers.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Restructuring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quarter ended July 31, 2026, management approved and initiated a strategic restructuring plan designed to streamline operations and reduce operating costs and cost of revenue. The plan involved a reduction in headcount affecting multiple departments, including Gloo 360, AI, and sales and marketing, as well as the termination of a vendor contract. In connection with the restructuring plan, we recorded total pre-tax restructuring charges of $4.4 million during the three months ended July 31, 2026, consisting primarily of severance and related employee benefits and a $1.0 million contract termination fee. Restructuring charges for the six months ended July 31, 2026 were $4.4 million, which includes immaterial amount related to actions initiated prior to the current plan. These charges are primarily reflected within cost of revenue, sales and marketing, product development, and general and administrative in the Condensed Consolidated Statements of Operations. We do not expect to incur material additional charges under this plan. The contract termination fee was paid in full during the quarter ended July 31, 2026, and no further obligation remains. As of July 31, 2026, $2.3 million of accrued severance and related benefits remained outstanding within accrued compensation, which we expect to pay by January 31, 2027. The components of the restructuring charges are as follows:</w:t>
      </w:r>
    </w:p>
    <w:p>
      <w:pPr>
        <w:pStyle w:val="TextBody"/>
        <w:bidi w:val="0"/>
        <w:spacing w:before="240" w:after="283"/>
        <w:jc w:val="both"/>
        <w:rPr/>
      </w:pPr>
      <w:r>
        <w:rPr/>
        <w:t> </w:t>
      </w:r>
    </w:p>
    <w:tbl>
      <w:tblPr>
        <w:tblW w:w="7468" w:type="dxa"/>
        <w:jc w:val="left"/>
        <w:tblInd w:w="0" w:type="dxa"/>
        <w:tblLayout w:type="fixed"/>
        <w:tblCellMar>
          <w:top w:w="28" w:type="dxa"/>
          <w:left w:w="28" w:type="dxa"/>
          <w:bottom w:w="28" w:type="dxa"/>
          <w:right w:w="28" w:type="dxa"/>
        </w:tblCellMar>
      </w:tblPr>
      <w:tblGrid>
        <w:gridCol w:w="3001"/>
        <w:gridCol w:w="146"/>
        <w:gridCol w:w="475"/>
        <w:gridCol w:w="354"/>
        <w:gridCol w:w="1240"/>
        <w:gridCol w:w="146"/>
        <w:gridCol w:w="146"/>
        <w:gridCol w:w="406"/>
        <w:gridCol w:w="303"/>
        <w:gridCol w:w="1060"/>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Severance and Cash Termination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Associated 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Factors Affecting Our Performance</w:t>
      </w:r>
    </w:p>
    <w:p>
      <w:pPr>
        <w:pStyle w:val="TextBody"/>
        <w:bidi w:val="0"/>
        <w:spacing w:before="240" w:after="283"/>
        <w:jc w:val="both"/>
        <w:rPr>
          <w:rFonts w:ascii="Times New Roman" w:hAnsi="Times New Roman"/>
          <w:sz w:val="20"/>
        </w:rPr>
      </w:pPr>
      <w:r>
        <w:rPr>
          <w:rFonts w:ascii="Times New Roman" w:hAnsi="Times New Roman"/>
          <w:color w:val="000000"/>
          <w:sz w:val="20"/>
        </w:rPr>
        <w:t>We believe that our future performance will depend on many factors, including those described below. While these areas present significant opportunity, they also present risks that we must manage to achieve successful results. See the section titled “</w:t>
      </w:r>
      <w:r>
        <w:rPr>
          <w:rFonts w:ascii="Times New Roman" w:hAnsi="Times New Roman"/>
          <w:i/>
          <w:color w:val="000000"/>
          <w:sz w:val="20"/>
        </w:rPr>
        <w:t>Risk Factors</w:t>
      </w:r>
      <w:r>
        <w:rPr>
          <w:rFonts w:ascii="Times New Roman" w:hAnsi="Times New Roman"/>
          <w:color w:val="000000"/>
          <w:sz w:val="20"/>
        </w:rPr>
        <w:t>.” If we are unable to address these challenges, our business and operating results could be adversely affected.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Completing and Integrating Acquisitions and Investments to Expand Our Reach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continue to pursue strategic acquisitions and investments to enhance our capabilities, expand distribution and increase the value of our platform. Our acquisition and investment strategy is focused on mission-aligned companies with strong recurring and re-occurring revenue, high engagement among faith and flourishing organizations and differentiated products or solutions. We believe future acquisitions and investments are important to our ability to grow revenue because they allow us to enhance product offerings, deepen the faith and flourishing ecosystem engagement and drive scalable change for NCPs and CFLs. Our ability to efficiently and effectively identify, complete and integrate acquisitions and investments will impact whether and how quickly our expected operational and financial benefits are achieved.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our acquisitions of Visitor Reach and Midwestern, we granted the counterparties contractual rights to repurchase a portion of the business interests that we acquired, subject to certain conditions and over specified periods, and in August 2026 the Midwestern repurchase rights were eliminated following the Midwestern II Acquisition. If any remaining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also increase the consideration paid for acquisitions, which then may also increase the likelihood that we take impairment charges subsequent to the closing of acquisitions or investments. Although we may enter into similar repurchase right arrangements in connection with future acquisitions and investments, we have historically maintained strong commercial relationships with the counterparties holding such rights, which we believe mitigates the associated risks.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Scaling Gloo 360 to Serve Larger Organizations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Gloo 360 was created to provide a forward-deployed technology solution for organizations that may not have the capital, scale or internal capabilities required to maintain a secure, current and efficient technology environment. The offering is designed to assume responsibility for significant components of a customer’s staffing and operations and to improve performance through the application of scale, automation, artificial intelligence and specialized technical expertise. We intend to market Gloo 360 increasingly to larger organizations, which will require us to rapidly scale our delivery organization, technical infrastructure and operational support capabilities. The success of Gloo 360 will depend on a number of factors, including our ability to scale and maintain the underlying technology platform, recruit, develop and retain qualified personnel, deploy employees effectively across customer environments, manage implementation complexity, maintain service quality, and establish pricing and contractual arrangements that appropriately reflect the value delivered and the risks assumed. Any failure to execute successfully in these areas could limit customer adoption, reduce operating efficiency, compress margins and adversely affect our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Expanding AI Capabilities for the Faith and Flourishing Ecosystem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Applied AI strategy is focused on three areas: building the core AI capabilities the ecosystem needs, embedding AI across our solutions and helping our customers and Gloo itself put AI agents to work and evolve toward more agentic operating models. We believe these priorities will strengthen our platform, enhance customer outcomes and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further our leadership position in Applied AI for the faith and flourishing ecosystem. We believe that delivering Applied AI begins with providing the core capabilities required to embed AI into the workflows and systems used by ministries, churches, nonprofits and other ecosystem participants</w:t>
      </w:r>
      <w:r>
        <w:rPr>
          <w:rFonts w:ascii="Times New Roman" w:hAnsi="Times New Roman"/>
          <w:color w:val="222222"/>
          <w:sz w:val="20"/>
        </w:rPr>
        <w:t xml:space="preserve">. </w:t>
      </w:r>
      <w:r>
        <w:rPr>
          <w:rFonts w:ascii="Times New Roman" w:hAnsi="Times New Roman"/>
          <w:color w:val="000000"/>
          <w:sz w:val="20"/>
        </w:rPr>
        <w:t xml:space="preserve">Our ability to realize returns on our investment in Gloo AI will depend on a number of factors, including our ability to successfully develop and market our AI capabilities, the effectiveness and pricing of these capabilities and our ability to differentiate these capabilities from competitive offerings. We believe the long-term opportunity of Applied AI extends beyond individual products and workflows to helping organizations operate in more scalable, efficient and effective ways. By enabling our customers, partners and Gloo itself to adopt more agentic operating models, we aim to expand capacity and improve execution across the faith and flourishing ecosystem.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Cross-Selling and Upselling of Brands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focused on cross-selling and upselling the brands of Gloo Capital Partners to our customer base. At times, different Gloo Capital Partners serve the same customers. We believe that providing bundled offerings that include our core Gloo products and the products of Gloo Capital Partners has the potential to increase our revenue. Our ability to accurately identify, market and sell value-enhancing bundles for our customers will impact the extent to which we are able to realize the potential financial benefits of cross-sell and upsell opportunities.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Retaining and Expanding Our Existing Customer Relationships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model integrates both enterprise NCP sales and digital-led growth to drive platform adoption, expansion and sustainable revenue. NCPs play a pivotal role by delivering their offerings to CFLs through our platform, while also purchasing our technology, advertising services and solutions to power their own operations. Through direct engagement with NCPs, we enable access to our platform, fueling the onboarding of new offerings and driving sustained customer growth. In parallel, our self-service onboarding model empowers CFLs to independently access both free and premium tools through Gloo Workspace, which has contributed to organic growth across our platform. Gloo provides a robust distribution channel for NCPs, driving engagement, reach and recurring revenue. Our ability to successfully anticipate the demands of our customers will impact our ability to create new products and provide new services that are adopted by our customers.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Continued Technology Innovation and Expansion of Our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our investments in Gloo AI, we plan to continue to invest in technology innovation and product development to enhance the capabilities of our platform, including the product development of Gloo Capital Partners. We are actively investing in our advertising offerings to enhance the Gloo Media Network, which provides advertising technology and marketing technology to NCPs. We expect that additional features and products will enable customers and collaborators to manage new workflows on our platform and allow us to attract a broader set of customers. We intend to continue to invest in building additional products, features and functionality that expand our capabilities and facilitate the extension of our platform. Our future success is dependent on our ability to successfully develop or acquire, market and sell existing and new products to both new and existing customers.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Components of Results of Operations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additional information concerning our accounting policies, see </w:t>
      </w:r>
      <w:r>
        <w:rPr>
          <w:rFonts w:ascii="Times New Roman" w:hAnsi="Times New Roman"/>
          <w:i/>
          <w:color w:val="000000"/>
          <w:sz w:val="20"/>
        </w:rPr>
        <w:t>Note 2, Summary of Significant Accounting Policies</w:t>
      </w:r>
      <w:r>
        <w:rPr>
          <w:rFonts w:ascii="Times New Roman" w:hAnsi="Times New Roman"/>
          <w:color w:val="000000"/>
          <w:sz w:val="20"/>
        </w:rPr>
        <w:t xml:space="preserve">, in the notes to the consolidated financial statements included in our Annual Report on Form 10-K.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Gloo reports revenue in two categories: Platform revenue and Platform Solutions revenue. We generate revenue through four core streams: subscriptions, advertising and marketing services, marketplace offerings, and platform solutions. Platform revenue includes our more recurring and scalable offerings, while Platform Solutions revenue reflects services-based engagements that are typically project-oriented in nature.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which is a component of platform revenue, includes our AI-powered technology platform Gloo 360 that helps our customers modernize core systems, unify data, improve workflows and operate more effectively. It also includes platforms that support communication and management of CFL organizations. These offerings generate revenue primarily through monthly and annual subscriptions.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Marketplace revenue, which is a component of platform revenue, represents sales through e-commerce marketplaces where CFLs discover and purchase products, such as books, banners and other physical and digital goods that are consumed through CFL related activities such as research, curricula, assessments, campaign support and technology services. Our largest marketplace is Outreach, a Gloo Capital Partner. Major faith holidays can result in seasonality within this revenue stream, such as increased revenue in our first and fourth fiscal quarters related to Easter and Christmas purchase volume and decreased revenue in our second fiscal quarter.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Advertising revenue, which is a component of platform revenue, represents both 1) fees earned for the placement of advertisements on our and Gloo Capital Partners’ websites from third-parties that are looking to offer their products and services to mission-oriented consumers, and 2) campaign advertising placements such as direct mail, email and SMS campaigns, digital media, data and analytics, and proprietary media inventory developed specifically for Christian audiences, which enables faith-based organizations to reach audiences in trusted environments where their messages are contextually relevant.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Platform solutions revenue represents 1) fees from managing donor events, 2) outsourced engineering and product development consulting services revenue and 3) marketing campaign management services such as strategy and creative consulting, which enables faith-based organizations to reach audiences in trusted environments where their messages are contextually relevant. We believe that platform solutions provide valuable network capabilities that allow us to build durable customer relationships as we deliver and scale platform revenue. Platform solutions also position us to deliver those services with Gloo AI capabilities, with increasing agentic capabilities that can improve customer value and concurrently increase our margins over time.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revenue is reported exclusive of depreciation and amortization. Cost of revenue related to subscription offerings consists primarily of software and hosting tools, salaries and wages related to employees that support the customer product, as well as customer success teams. Cost of revenue related to marketplace is comprised of raw materials, finished goods, salaries and wages related to employees in the production department, as well as rent expense and overhead. Cost of revenue related to advertising consists primarily of salaries and wages related to employees that support our advertising customers as well as costs related to digital platforms, print production, and logistics. Cost of revenue related to platform solutions primarily consists of salaries and wages for our professional services teams as well as costs associated with supporting fundraising events such as hotel costs and speaker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cost of revenue as a percentage of revenue will fluctuate from period to period based on a variety of factors, including the mix of revenue between subscription, marketplace, advertising and platform solutions, variations in labor costs, third-party expenses and acquisitions. For example, marketplace generally has a higher cost of revenue as a percentage of revenue compared to subscription revenue.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development expenses consist primarily of personnel-related costs for the design and development of our platform, including salaries, benefits, bonuses and equity-based compensation. Product development expense also includes third-party outsourced technology costs incurred in developing our platforms, and computer equipment, software, and subscription services dedicated for use by our product development organization. We expect our product development expense to increase for the foreseeable future as we continue to dedicate substantial resources to develop, improve and expand the functionality of our offerings, particularly with our expansion of our AI capabilities.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and marketing expense consists primarily of employee costs for our sales and marketing personnel, including salaries, benefits, bonuses, equity-based compensation and sales commissions. Sales and marketing expense also includes advertising costs, travel-related expenses and costs to market and promote our offerings, direct customer acquisition costs and costs related to conferences and events. Software and subscription services dedicated for use by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sales and marketing organization and outside services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 will increase on an absolute dollar basis for the foreseeable future as we continue to increase investments to support our growth and expand our reach. We also anticipate that sales and marketing expense will increase in the near and medium-term as we focus our efforts to expand our brand name and presence in the marketplace.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 consists of employee costs for our executive leadership, accounting, finance, legal, human resources and other administrative personnel, including salaries, benefits, bonuses, and equity-based compensation. General and administrative expense also includes external legal, accounting and other professional service fees, rent, software and subscription services dedicated for use by our general and administrative employees, and other general corporate expenses. Acquisition-related expenses are also a component of general and administrative expense. We expect general and administrative expense to increase on an absolute dollar basis for the foreseeable future as we continue to increase investments to support our growth and because of increased costs due to becoming a publicly-traded company. As we are able to further scale our operations in the future, we expect that general and administrative expense will decrease as a percentage of revenue.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and amortization relate to intangible assets, property and equipment, and capitalized software. Depreciation and amortization will increase on an absolute dollar basis as we continue to acquire Gloo Capital Partners, resulting in additional intangible assets.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consists of coupon rate interest expense on our long-term debt, as well as amortization of deferred financing costs and discounts. Discounts typically relate to the value bifurcated from the debt host for embedded warrants and derivatives.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Expense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expense (income), net primarily consists of interest income earned on our cash and cash equivalents. For the six months ended July 31, 2026, this also included a partial refund of a one-time employee tax credit and a one time non-operating expense.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(Gain) Loss from Change in Fair Value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(Gain) loss from change in fair value of financial instruments primarily relates to mark-to-market changes on warrant and derivative instruments and the MW Call Option. For the three and six months ended July 31, 2025, this also included change in fair value of exchangeable shares.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on extinguishment of debt represents the excess of the consideration paid to retire our Senior Secured Promissory Notes over its carrying amount, including discounts, premiums and issuance costs associated with the extinguished debt.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Net Loss Before Income Taxes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Income Tax (Expense) Benefit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account for income taxes in accordance with </w:t>
      </w:r>
      <w:r>
        <w:rPr>
          <w:rFonts w:ascii="Times New Roman" w:hAnsi="Times New Roman"/>
          <w:i/>
          <w:color w:val="000000"/>
          <w:sz w:val="20"/>
        </w:rPr>
        <w:t>ASC 740. ASC 740</w:t>
      </w:r>
      <w:r>
        <w:rPr>
          <w:rFonts w:ascii="Times New Roman" w:hAnsi="Times New Roman"/>
          <w:color w:val="000000"/>
          <w:sz w:val="20"/>
        </w:rPr>
        <w:t xml:space="preserve"> requires deferred tax assets and liabilities to be recognized for temporary differences between the tax basis and financial reporting basis of assets and liabilities,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computed at the expected tax rates for the periods in which the assets or liabilities will be realized, as well as for the expected tax benefit of net operating loss and tax credit carryforwards. Income taxes are recognized for the amount of taxes payable for the current year and for the impact of deferred tax assets and liabilities, which represent future tax consequences of events that have been recognized differently in the financial statements than for tax purposes.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Income (Loss) From Equity Method Investments,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(loss) from equity method investments, net represents our proportionate share of earnings and losses from investments in unconsolidated entities over which we exercise significant influence, but do not maintain a controlling financial interest, as well as the impacts of revaluing our previously held equity method investments upon consolidation. Midwestern and Sermons Tech were accounted for as equity method investments from January 3, 2025 through June 11, 2025 and October 25, 2023 through August 1, 2025, respectively, at which point we obtained a controlling financial interest and consolidated the respective entities.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Consolidated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summarize key components of our results of operations for the periods presented. The comparability of our operating results is impacted by our business combinations and acquisitions. The period-to-period comparisons of our historical results are not necessarily indicative of the results that may be expected in the future.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90"/>
        <w:gridCol w:w="146"/>
        <w:gridCol w:w="196"/>
        <w:gridCol w:w="146"/>
        <w:gridCol w:w="661"/>
        <w:gridCol w:w="166"/>
        <w:gridCol w:w="146"/>
        <w:gridCol w:w="196"/>
        <w:gridCol w:w="146"/>
        <w:gridCol w:w="661"/>
        <w:gridCol w:w="166"/>
        <w:gridCol w:w="146"/>
        <w:gridCol w:w="196"/>
        <w:gridCol w:w="146"/>
        <w:gridCol w:w="691"/>
        <w:gridCol w:w="166"/>
        <w:gridCol w:w="146"/>
        <w:gridCol w:w="196"/>
        <w:gridCol w:w="146"/>
        <w:gridCol w:w="661"/>
        <w:gridCol w:w="391"/>
      </w:tblGrid>
      <w:tr>
        <w:trPr/>
        <w:tc>
          <w:tcPr>
            <w:tcW w:w="4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Platform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Platform solutions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 xml:space="preserve">Cost of revenue </w:t>
            </w:r>
            <w:r>
              <w:rPr>
                <w:rFonts w:ascii="Times New Roman" w:hAnsi="Times New Roman"/>
                <w:color w:val="000000"/>
                <w:sz w:val="11"/>
              </w:rPr>
              <w:t>(1)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 xml:space="preserve">Product development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 xml:space="preserve">Sales and marketing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 xml:space="preserve">General and administrative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loss from 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from equity method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stockholders and members of Gloo Holdings, Inc. and Gloo Holdings, LLC,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6" w:space="1" w:color="000000"/>
        </w:pBdr>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 xml:space="preserve">* N/M = not meaningful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Excludes depreciation and amortization.</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Equity-based compensation expense was allocated in cost of revenue and operating expenses as follows:</w:t>
      </w:r>
    </w:p>
    <w:p>
      <w:pPr>
        <w:pStyle w:val="TextBody"/>
        <w:bidi w:val="0"/>
        <w:spacing w:before="40" w:after="283"/>
        <w:jc w:val="both"/>
        <w:rPr/>
      </w:pPr>
      <w:r>
        <w:rPr/>
        <w:t> </w:t>
      </w:r>
    </w:p>
    <w:tbl>
      <w:tblPr>
        <w:tblW w:w="7241" w:type="dxa"/>
        <w:jc w:val="left"/>
        <w:tblInd w:w="0" w:type="dxa"/>
        <w:tblLayout w:type="fixed"/>
        <w:tblCellMar>
          <w:top w:w="28" w:type="dxa"/>
          <w:left w:w="28" w:type="dxa"/>
          <w:bottom w:w="28" w:type="dxa"/>
          <w:right w:w="28" w:type="dxa"/>
        </w:tblCellMar>
      </w:tblPr>
      <w:tblGrid>
        <w:gridCol w:w="2516"/>
        <w:gridCol w:w="146"/>
        <w:gridCol w:w="196"/>
        <w:gridCol w:w="146"/>
        <w:gridCol w:w="511"/>
        <w:gridCol w:w="146"/>
        <w:gridCol w:w="146"/>
        <w:gridCol w:w="196"/>
        <w:gridCol w:w="146"/>
        <w:gridCol w:w="511"/>
        <w:gridCol w:w="146"/>
        <w:gridCol w:w="146"/>
        <w:gridCol w:w="196"/>
        <w:gridCol w:w="146"/>
        <w:gridCol w:w="511"/>
        <w:gridCol w:w="146"/>
        <w:gridCol w:w="146"/>
        <w:gridCol w:w="196"/>
        <w:gridCol w:w="146"/>
        <w:gridCol w:w="511"/>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 xml:space="preserve">Cost of revenue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Excludes depreciation and amortization.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Three and Six Months Ended July 31, 2026 and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both"/>
        <w:rPr/>
      </w:pPr>
      <w:r>
        <w:rPr/>
        <w:t> </w:t>
      </w:r>
    </w:p>
    <w:tbl>
      <w:tblPr>
        <w:tblW w:w="7566" w:type="dxa"/>
        <w:jc w:val="left"/>
        <w:tblInd w:w="0" w:type="dxa"/>
        <w:tblLayout w:type="fixed"/>
        <w:tblCellMar>
          <w:top w:w="28" w:type="dxa"/>
          <w:left w:w="28" w:type="dxa"/>
          <w:bottom w:w="28" w:type="dxa"/>
          <w:right w:w="28" w:type="dxa"/>
        </w:tblCellMar>
      </w:tblPr>
      <w:tblGrid>
        <w:gridCol w:w="2181"/>
        <w:gridCol w:w="146"/>
        <w:gridCol w:w="196"/>
        <w:gridCol w:w="146"/>
        <w:gridCol w:w="601"/>
        <w:gridCol w:w="146"/>
        <w:gridCol w:w="146"/>
        <w:gridCol w:w="196"/>
        <w:gridCol w:w="146"/>
        <w:gridCol w:w="601"/>
        <w:gridCol w:w="146"/>
        <w:gridCol w:w="146"/>
        <w:gridCol w:w="196"/>
        <w:gridCol w:w="146"/>
        <w:gridCol w:w="601"/>
        <w:gridCol w:w="146"/>
        <w:gridCol w:w="146"/>
        <w:gridCol w:w="196"/>
        <w:gridCol w:w="146"/>
        <w:gridCol w:w="601"/>
        <w:gridCol w:w="591"/>
      </w:tblGrid>
      <w:tr>
        <w:trPr/>
        <w:tc>
          <w:tcPr>
            <w:tcW w:w="2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solutions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revenue increased by $30.4 million, or 188.0%, and increased by $59.6 million, or 209.4%, for the three and six months ended July 31, 2026, respectively, compared to the corresponding periods in 2025. The increase for the three month period was driven by an increase in platform revenue of $14.9 million and an increase in platform solutions revenue of $15.5 million. The increase for the six month period was driven by an increase in platform revenue of $30.5 million and an increase in platform solutions revenue of $29.1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Platform revenue increased by $14.9 million and $30.5 million, during the three and six months ended July 31, 2026, respectively, primarily due to an increase in advertising revenue of $7.3 million and $17.2 million and an increase in subscription revenue of $7.7 million and $13.2 million, compared to the corresponding periods in 2025. The increase in advertising revenue is primarily attributable to the acquisition of Masterworks, Incorporated (“Masterworks”), a leading marketing and fundraising firm. The increase in subscription revenue was primarily driven by the continued expansion of our Gloo 360 product offering, which enables customers to improve efficiency, strengthen system integration and accelerate digital transformation initiatives. Gloo 360 was launched during the third quarter of our fiscal year ended January 31, 2026 and, as a result, did not contribute to platform revenue during the three and six months ended July 31, 2025. Subscription revenue also increased due to the acquisition of Igniter Group, which sells subscriptions to digital content, as well as price increases to Gloo Workspace.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Platform solutions revenue increased by $15.5 million and $29.1 million, during the three and six months ended July 31, 2026, respectively, due to the acquisitions of Westfall Group and EMD, compared to the corresponding periods in 2025. Westfall Group and EMD were acquired subsequent to the corresponding periods in 2025, and therefore did not contribute to the prior period’s results. Revenue attributable to Westfall Group primarily relates to hosting donor engagement events and EMD contributed Workday advisory and consulting services revenue. Masterworks and Midwestern were acquired during the period in 2025, but did not contribute to a full quarter as compared to the corresponding periods in 2026. Masterworks contributed talent and influencer-related marketing services revenue, and Midwestern contributed outsourced engineering and development services revenue.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both"/>
        <w:rPr/>
      </w:pPr>
      <w:r>
        <w:rPr/>
        <w:t> </w:t>
      </w:r>
    </w:p>
    <w:tbl>
      <w:tblPr>
        <w:tblW w:w="7396" w:type="dxa"/>
        <w:jc w:val="left"/>
        <w:tblInd w:w="0" w:type="dxa"/>
        <w:tblLayout w:type="fixed"/>
        <w:tblCellMar>
          <w:top w:w="28" w:type="dxa"/>
          <w:left w:w="28" w:type="dxa"/>
          <w:bottom w:w="28" w:type="dxa"/>
          <w:right w:w="28" w:type="dxa"/>
        </w:tblCellMar>
      </w:tblPr>
      <w:tblGrid>
        <w:gridCol w:w="2221"/>
        <w:gridCol w:w="146"/>
        <w:gridCol w:w="196"/>
        <w:gridCol w:w="146"/>
        <w:gridCol w:w="601"/>
        <w:gridCol w:w="146"/>
        <w:gridCol w:w="146"/>
        <w:gridCol w:w="196"/>
        <w:gridCol w:w="146"/>
        <w:gridCol w:w="601"/>
        <w:gridCol w:w="146"/>
        <w:gridCol w:w="146"/>
        <w:gridCol w:w="196"/>
        <w:gridCol w:w="146"/>
        <w:gridCol w:w="691"/>
        <w:gridCol w:w="146"/>
        <w:gridCol w:w="146"/>
        <w:gridCol w:w="196"/>
        <w:gridCol w:w="146"/>
        <w:gridCol w:w="60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2"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 xml:space="preserve">Cost of revenue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74,927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Excludes depreciation and amortization.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(exclusive of depreciation and amortization) increased by $17.7 million, or 146.4%, and $36.9 million, or 176.1%, for the three and six months ended July 31, 2026, respectively, compared to the corresponding periods in 2025. The increase was primarily driven by higher salaries and wages of $7.5 million and $15.0 million related to strategic acquisitions and incremental headcount supporting the launch and continued expansion of Gloo 360 for the three and six months ended July 31, 2026, respectively. Additionally, cost of revenue increased $5.4 million and $10.2 million, respectively, due to advertising-related costs associated with the acquisition of Masterworks, an additional $1.5 million and $4.0 million, respectively, related to costs associated with hosting donor engagement events at Westfall Group, and an increase of $0.4 million and $2.2 million, respectively, related to engineering costs associated with the Midwestern acquisition for the three and six months ended July 31,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development expense increased by $2.1 million, or 41.7%, and increased by $0.3 million, or 2.6%, for the three and six months ended July 31, 2026, respectively, compared to the corresponding periods in 2025. The increase for the three months ended July 31, 2026 was primarily driven by $1.3 million of restructuring related severance expenses and $0.3 million in higher AI data usage. For the six month period, the increase was primarily attributable to $0.5 million in higher AI data usage, offset by a reduction in engineering services.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and marketing costs increased by $2.4 million, or 27.7%, and $4.7 million, or 29.5%, for the three and six months ended July 31, 2026, respectively, compared to the corresponding periods in 2025. The increase for the three month period was primarily attributable to a $1.9 million increase of severance and other exit fees due to restructuring. The increase for the six month period was primarily driven by $2.1 million of higher compensation-related costs and $1.9 million of severance and other exit fees due to restructuring. The increase was partially offset by lower external agency fees.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increased by $3.4 million, or 27.5%, and $8.7 million or 39.0%, for the three and six months ended July 31, 2026, respectively, compared to the corresponding periods in 2025. The increase for the three month period was primarily attributable to a $1.8 million increase related to incremental operating costs from our 2025 acquisitions which were completed post Q2 2025, as well as a $0.8 million increase in compensation related costs and $0.8 million of severance and other exit fees due to restructuring. The increase for the six month period was primarily attributable to a $4.5 million increase in compensation related costs and $1.8 million due to incremental operating costs from our 2025 acquisitions which were completed post Q2 2025, and $0.8 million of severance and other exit fees due to restructuring. This is partially offset by a decrease in acquisition related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Depreciation and amortization expense increased by $1.0 million, or 37.2%, and $1.9 million, or 36.4%, for the three and six months ended July 31, 2026, respectively, compared to the corresponding periods in 2025. The increases were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primarily due to full quarters of operations from strategic acquisitions during 2026 versus partial period ownership in 2025, as well as an increase in depreciation and amortization of fixed assets and capitalized software at Gloo due to normal course of business.</w:t>
      </w:r>
    </w:p>
    <w:p>
      <w:pPr>
        <w:pStyle w:val="TextBody"/>
        <w:bidi w:val="0"/>
        <w:spacing w:before="80" w:after="283"/>
        <w:jc w:val="both"/>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240" w:after="283"/>
        <w:jc w:val="both"/>
        <w:rPr/>
      </w:pPr>
      <w:r>
        <w:rPr/>
        <w:t> </w:t>
      </w:r>
    </w:p>
    <w:tbl>
      <w:tblPr>
        <w:tblW w:w="9445" w:type="dxa"/>
        <w:jc w:val="left"/>
        <w:tblInd w:w="0" w:type="dxa"/>
        <w:tblLayout w:type="fixed"/>
        <w:tblCellMar>
          <w:top w:w="28" w:type="dxa"/>
          <w:left w:w="28" w:type="dxa"/>
          <w:bottom w:w="28" w:type="dxa"/>
          <w:right w:w="28" w:type="dxa"/>
        </w:tblCellMar>
      </w:tblPr>
      <w:tblGrid>
        <w:gridCol w:w="4466"/>
        <w:gridCol w:w="196"/>
        <w:gridCol w:w="146"/>
        <w:gridCol w:w="511"/>
        <w:gridCol w:w="166"/>
        <w:gridCol w:w="146"/>
        <w:gridCol w:w="196"/>
        <w:gridCol w:w="146"/>
        <w:gridCol w:w="601"/>
        <w:gridCol w:w="166"/>
        <w:gridCol w:w="146"/>
        <w:gridCol w:w="196"/>
        <w:gridCol w:w="146"/>
        <w:gridCol w:w="571"/>
        <w:gridCol w:w="166"/>
        <w:gridCol w:w="146"/>
        <w:gridCol w:w="196"/>
        <w:gridCol w:w="146"/>
        <w:gridCol w:w="601"/>
        <w:gridCol w:w="391"/>
      </w:tblGrid>
      <w:tr>
        <w:trPr/>
        <w:tc>
          <w:tcPr>
            <w:tcW w:w="4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2"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loss from change in fair value of financial instruments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Loss on extinguishment of debt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(income) expense, net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xml:space="preserve">* N/M = not meaningful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decreased by $2.4 million, or 74.6%, and $4.2 million, or 70.0%, for the three and six months ended July 31, 2026, respectively, compared to the corresponding periods in 2025. The decreases were primarily due to lower outstanding debt balances following the conversion and settlement of the Senior Secured Convertible Notes in connection with our initial public offering. The Senior Secured Convertible Notes were outstanding through November 19, 2025 and were settled through the issuance of Class B common stock on November 20,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net, increased by $0.2 million, or 334.6%, and $0.8 million, or 174.2%, for the three and six months ended July 31, 2026, respectively, compared to the corresponding periods in 2025. The increase was related to a one-time employee tax credit of $1.2 million received during the six months ended July 31,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(Gain) Loss from Change in Fair Value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change in fair value of financial instruments resulted in a loss of $0.5 million and a gain of $0.2 million, respectively, during the three and six months ended July 31, 2026, compared to a loss of $8.2 million and $11.4 million during the corresponding periods in 2025, respectively. The gain in the six months ended July 31, 2026 was driven by the remeasurement of our MW Call Option, which reduced the liability by $0.8 million. The loss in the three and six months ended July 31, 2025 was primarily driven by the remeasurement of our MW Call Option.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loss on extinguishment of debt was recognized during three and six months ended July 31, 2026. We incurred a $7.5 million loss on extinguishment of debt during the three and six months ended July 31, 2025, resulting from the exchange of certain Original Senior Secured Notes to Senior Secured Convertible Notes.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Net Loss Before Income Taxes</w:t>
      </w:r>
    </w:p>
    <w:p>
      <w:pPr>
        <w:pStyle w:val="TextBody"/>
        <w:bidi w:val="0"/>
        <w:spacing w:before="240" w:after="283"/>
        <w:jc w:val="both"/>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Income Tax Benefit (Expense)</w:t>
      </w:r>
    </w:p>
    <w:p>
      <w:pPr>
        <w:pStyle w:val="TextBody"/>
        <w:bidi w:val="0"/>
        <w:spacing w:before="240" w:after="283"/>
        <w:jc w:val="both"/>
        <w:rPr/>
      </w:pPr>
      <w:r>
        <w:rPr/>
        <w:t> </w:t>
      </w:r>
    </w:p>
    <w:tbl>
      <w:tblPr>
        <w:tblW w:w="6366" w:type="dxa"/>
        <w:jc w:val="left"/>
        <w:tblInd w:w="0" w:type="dxa"/>
        <w:tblLayout w:type="fixed"/>
        <w:tblCellMar>
          <w:top w:w="28" w:type="dxa"/>
          <w:left w:w="28" w:type="dxa"/>
          <w:bottom w:w="28" w:type="dxa"/>
          <w:right w:w="28" w:type="dxa"/>
        </w:tblCellMar>
      </w:tblPr>
      <w:tblGrid>
        <w:gridCol w:w="2146"/>
        <w:gridCol w:w="146"/>
        <w:gridCol w:w="196"/>
        <w:gridCol w:w="146"/>
        <w:gridCol w:w="376"/>
        <w:gridCol w:w="146"/>
        <w:gridCol w:w="146"/>
        <w:gridCol w:w="196"/>
        <w:gridCol w:w="146"/>
        <w:gridCol w:w="376"/>
        <w:gridCol w:w="146"/>
        <w:gridCol w:w="146"/>
        <w:gridCol w:w="196"/>
        <w:gridCol w:w="146"/>
        <w:gridCol w:w="511"/>
        <w:gridCol w:w="146"/>
        <w:gridCol w:w="146"/>
        <w:gridCol w:w="196"/>
        <w:gridCol w:w="146"/>
        <w:gridCol w:w="3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7"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and six months ended July 31, 2026, we recognized income tax benefit of $0.5 million and $1.3 million, respectively, as compared to a benefit of $0.3 million and $0.3 million, for the three and six months ended July 31, 2025, respectively. The change primarily related to our Corporate Reorganization. Prior to November 19, 2025, Gloo was treated as a partnership for U.S. Federal and certain state and local income tax purposes and, as such was generally not subject to entity-level income taxes. Following the Corporate Reorganization, we became subject to U.S. Federal and state and local income taxes.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our results and measures of performance determined in accordance with U.S. GAAP, we also evaluate our operating performance based on our Adjusted EBITDA, a non-GAAP financial measure. In conjunction with our U.S. GAAP financial results, we use Adjusted EBITDA to evaluate our core operating performance, support planning and forecasting, and assess strategic opportunities. In addition, we may use Adjusted EBITDA in the incentive compensation programs applicable to some of our employees. Accordingly, we believe that Adjusted EBITDA may provide useful information to investors about our business and financial performance, enhance their overall understanding of our past performance and future prospects, and allow for greater transparency with respect to this measure used by our management in their financial and operational decision making.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has inherent limitations because it reflects the exercise of judgment by our management about which items to include or exclude. Accordingly, Adjusted EBITDA may not be directly comparable to similarly titled metrics used by other companies. The non-GAAP financial information is presented for supplemental informational purposes only and should not be considered a substitute for financial information presented in accordance with U.S. GAAP. Investors are encouraged to review the related U.S. GAAP financial measure and the reconciliation provided below, as well as our condensed consolidated financial statements and related notes included elsewhere in Part I, Item 1 of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define Adjusted EBITDA as net loss adjusted to exclude (1) interest expense, (2) income tax (benefit) expense, (3) depreciation and amortization, (4) equity-based compensation, (5) (gain) loss from change in fair value of financial instruments, (6) Financing and restructuring costs, (7) loss from equity method investments, net, (8) interest income, (9) offering related costs, (10) loss on extinguishment of debt, (11) one-time employee tax credit, (12) opening balance sheet adjustment subsequent to the measurement period, and (13) other non-cash or non-routine items that are not reflective of our core operating results. Tashe following table presents a reconciliation of net loss attributable to common stockholders and members, the most directly comparable financial measure calculated in accordance with U.S. GAAP, to Adjusted EBITDA.</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846"/>
        <w:gridCol w:w="196"/>
        <w:gridCol w:w="146"/>
        <w:gridCol w:w="661"/>
        <w:gridCol w:w="166"/>
        <w:gridCol w:w="146"/>
        <w:gridCol w:w="196"/>
        <w:gridCol w:w="146"/>
        <w:gridCol w:w="661"/>
        <w:gridCol w:w="166"/>
        <w:gridCol w:w="146"/>
        <w:gridCol w:w="196"/>
        <w:gridCol w:w="146"/>
        <w:gridCol w:w="661"/>
        <w:gridCol w:w="166"/>
        <w:gridCol w:w="146"/>
        <w:gridCol w:w="196"/>
        <w:gridCol w:w="146"/>
        <w:gridCol w:w="661"/>
        <w:gridCol w:w="411"/>
      </w:tblGrid>
      <w:tr>
        <w:trPr/>
        <w:tc>
          <w:tcPr>
            <w:tcW w:w="4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common stockholders and members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to exclude: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(benefit)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from change in fair value of financial instruments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and restructuring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from equity method investments,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Offering related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One-time employee tax credit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Opening balance sheet adjustment subsequent to the measurement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both"/>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Sources and Uses of Funds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Since inception, our primary sources of liquidity have been net proceeds from the issuance of preferred and common equity and long-term debt financings from a broad-based group of investors, including significant funding from our co-founder, president, and chief executive officer, Mr. Beck, and his affiliates, and revenue generated from operations. Our principal uses of cash have included business acquisitions, investments in equity method investees, and funding operating losses.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July 31, 2026, we held cash and cash equivalents of $39.3 million and had an accumulated deficit of $78.3 million. </w:t>
      </w:r>
    </w:p>
    <w:p>
      <w:pPr>
        <w:pStyle w:val="TextBody"/>
        <w:bidi w:val="0"/>
        <w:jc w:val="both"/>
        <w:rPr>
          <w:rFonts w:ascii="Times New Roman" w:hAnsi="Times New Roman"/>
          <w:color w:val="000000"/>
          <w:sz w:val="20"/>
        </w:rPr>
      </w:pPr>
      <w:r>
        <w:rPr>
          <w:rFonts w:ascii="Times New Roman" w:hAnsi="Times New Roman"/>
          <w:color w:val="000000"/>
          <w:sz w:val="20"/>
        </w:rPr>
        <w:t xml:space="preserve">Our primary funding requirements are for our ongoing business operations, outstanding debt obligations, business acquisitions, and strategic investments. The principal amount of our outstanding consolidated debt aggregated to $38.3 million, of which $5.1 million is classified as current in our condensed consolidated balance sheet. As of July 31, 2026, we had $13.2 million principal outstanding under our Senior Secured Promissory Notes. We do not have any available borrowing capacity on existing debt instruments.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Looking ahead, management’s assessment of our ability to continue as a going concern involved evaluating our forecasted liquidity needs and overall financial condition over a period of at least 12 months from the date the financial statements are available to be issued. As part of this assessment, management considered our current financial condition, which is characterized by recurring operating losses, negative cash flows, limited liquid resources and dependence on external financing, as well as the funds required to execute our business plan over the evaluation period. Based on these factors, we have concluded that there is substantial doubt about our ability to continue as a going concern for at least 12 months from the date the financial statements are available to be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condensed consolidated financial statements have been prepared on a basis that assumes we will continue as a going concern and do not include any adjustments to reflect the possible future effects of the recoverability and classification of assets or the amounts and classification of liabilities that may result should we be unable to continue as a going concern. Refer to </w:t>
      </w:r>
      <w:r>
        <w:rPr>
          <w:rFonts w:ascii="Times New Roman" w:hAnsi="Times New Roman"/>
          <w:i/>
          <w:color w:val="000000"/>
          <w:sz w:val="20"/>
        </w:rPr>
        <w:t>Note 1, Nature of Business - Going Concern</w:t>
      </w:r>
      <w:r>
        <w:rPr>
          <w:rFonts w:ascii="Times New Roman" w:hAnsi="Times New Roman"/>
          <w:color w:val="000000"/>
          <w:sz w:val="20"/>
        </w:rPr>
        <w:t xml:space="preserve"> for additional information.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consolidated cash flows for the periods indicated:</w:t>
      </w:r>
    </w:p>
    <w:p>
      <w:pPr>
        <w:pStyle w:val="TextBody"/>
        <w:bidi w:val="0"/>
        <w:jc w:val="both"/>
        <w:rPr/>
      </w:pPr>
      <w:r>
        <w:rPr/>
        <w:t> </w:t>
      </w:r>
    </w:p>
    <w:tbl>
      <w:tblPr>
        <w:tblW w:w="7545" w:type="dxa"/>
        <w:jc w:val="left"/>
        <w:tblInd w:w="0" w:type="dxa"/>
        <w:tblLayout w:type="fixed"/>
        <w:tblCellMar>
          <w:top w:w="28" w:type="dxa"/>
          <w:left w:w="28" w:type="dxa"/>
          <w:bottom w:w="28" w:type="dxa"/>
          <w:right w:w="28" w:type="dxa"/>
        </w:tblCellMar>
      </w:tblPr>
      <w:tblGrid>
        <w:gridCol w:w="4816"/>
        <w:gridCol w:w="196"/>
        <w:gridCol w:w="146"/>
        <w:gridCol w:w="661"/>
        <w:gridCol w:w="166"/>
        <w:gridCol w:w="146"/>
        <w:gridCol w:w="196"/>
        <w:gridCol w:w="146"/>
        <w:gridCol w:w="661"/>
        <w:gridCol w:w="411"/>
      </w:tblGrid>
      <w:tr>
        <w:trPr/>
        <w:tc>
          <w:tcPr>
            <w:tcW w:w="4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and cash equivalents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cash equivalents, and restricted cash</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was $28.0 million for the six months ended July 31, 2026, compared to $44.2 million for the corresponding period in 2025. The decrease in cash used in operating activities of $16.3 million was primarily attributable to a decrease in net loss of $32.8 million, which was offset by a net decrease in non-cash charges of $14.7 million for the six months ended July 31, 2026, compared to the corresponding period in 2025, and by changes in working capital.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was $10.4 million for the six months ended July 31, 2026, compared to $10.7 million for the corresponding period in 2025. The $0.3 million decrease in cash used was primarily driven by a $0.9 million increase in purchases of property and equipment and $0.7 million increase in contingent consideration payments, partially offset by $0.7 million of lower acquisition-related payments, and $0.6 million of lower capitalized internal-use software costs.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was $20.3 million for the six months ended July 31, 2026, compared to net cash provided by financing activities of $64.2 million for the corresponding period in 2025. The $$43.9 million decrease in net cash was primarily driven by $$2.7 million from payments on debt during the six months ended July 31, 2026, compared to $57.0 million of net proceeds from debt for the six months ended July 31, 2025 that did not recur in the corresponding 2026 period, partially offset by $23.7 million of proceeds from our follow-on offering of Class A common stock during the six months ended July 31, 2026.</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an emerging growth company (EGC), the JOBS Act, Section 107, allows us to delay adoption of new or revised accounting pronouncements applicable to public companies until such pronouncements are made applicable to private companies. We have elected to use this extended transition period under the JOBS Act for the implementation of new or revised accounting standards and as a result of this election,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We will remain an emerging growth company until the earliest to occur of: (1) the last day of the fiscal year in which we have at least $1.235 billion in annual revenue; (2) the last date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IPO occurred, or January 31, 2031.</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nor do we enter into off-balance sheet arrangements that had, or which are reasonably likely to have, a material effect on our financial condition, revenue or expenses, results of operations, liquidity, capital expenditures or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have been no significant changes in our critical accounting policies and estimates during the six months ended July 31, 2026 as compared to those disclosed in “Management’s Discussion and Analysis of Financial Condition and Results of Operations” included in our Annual Report on Form 10-K for the fiscal year ended January 31, 2026.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2, Summary of Significant Accounting Policies</w:t>
      </w:r>
      <w:r>
        <w:rPr>
          <w:rFonts w:ascii="Times New Roman" w:hAnsi="Times New Roman"/>
          <w:color w:val="000000"/>
          <w:sz w:val="20"/>
        </w:rPr>
        <w:t xml:space="preserve"> in the notes to the unaudited condensed consolidated financial statements included in this Quarterly Report on Form 10-Q for a discussion of recently issued accounting pronouncements not yet adopted and their potential impact to our financial statements.</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“smaller reporting company,” as defined in Rule 12b-2 of the Securities Exchange Act of 1934, as amended (the “Exchange Act”), we are not required to provide the information required by Item 305 of Regulation S-K.</w:t>
      </w:r>
    </w:p>
    <w:p>
      <w:pPr>
        <w:pStyle w:val="TextBody"/>
        <w:bidi w:val="0"/>
        <w:spacing w:before="240" w:after="283"/>
        <w:jc w:val="both"/>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principal financial officer, has evaluated the effectiveness of our disclosure controls and procedures (as defined in Rules 13a-15(e) and 15d-15(e) under the Exchange Act) as of the end of the period covered by this Quarterly Report. Based on that evaluation, our chief executive officer and chief financial officer have concluded that, as of such date, our disclosure controls and procedures were not effective at the reasonable assurance level because of material weaknesses in our internal control over financial reporting as described below.</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However, our management, including our chief executive officer and chief financial officer, has concluded that, notwithstanding the identified material weaknesses in our internal control over financial reporting, the condensed consolidated financial statements in this Quarterly Report fairly present, in all material respects, our financial position, results of operations and cash flows for the periods presented in conformity with U.S. GAAP.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Weaknesses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three material weaknesses in our internal control over financial reporting relating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ineffective information technology general control environment due to improper logical access, change management and computer operations controls within (1) certain enterprise resource planning systems (“ERPs”), (2) other third-party financial systems integrated to these ERPs and utilized for financial reporting purposes and (3) internally developed systems used for financial reporting purposes;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improper segregation of duties within (1) certain ERPs, (2) other third-party financial systems integrated to these ERPs and utilized for financial reporting purposes, (3) internally developed systems used for financial reporting purposes and (4) various business processes impacting financial reporting;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lack of financial close and reporting controls that are sufficiently precise, performed consistently, timely, and documented.</w:t>
      </w:r>
    </w:p>
    <w:p>
      <w:pPr>
        <w:pStyle w:val="TextBody"/>
        <w:bidi w:val="0"/>
        <w:spacing w:before="240" w:after="283"/>
        <w:jc w:val="both"/>
        <w:rPr>
          <w:rFonts w:ascii="Times New Roman" w:hAnsi="Times New Roman"/>
          <w:sz w:val="20"/>
        </w:rPr>
      </w:pPr>
      <w:r>
        <w:rPr>
          <w:rFonts w:ascii="Times New Roman" w:hAnsi="Times New Roman"/>
          <w:b/>
          <w:i/>
          <w:color w:val="000000"/>
          <w:sz w:val="20"/>
        </w:rPr>
        <w:t>Management’s Plan to Remediate the Material Weaknesses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is devoting time, attention and resources to remediate the material weaknesses and strengthen our control environment. We have developed a remediation plan that includes: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Implementing enhanced user access controls across our ERP and other financial systems, including periodic access reviews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Enhancing our change management procedures to ensure that system changes are properly authorized, tested, and documented prior to deployment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Redesigning system roles and responsibilities to ensure adequate segregation of duties within key ERP modules, integrated third-party financial systems, and internally developed systems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Enhancing the precision and documentation of key review controls within the financial close process, including reconciliations, journal entry reviews, and management-level analytical procedures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Implementing additional supervisory reviews and validation checks over the preparation of financial statements and related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in the process of implementing remediation plans to address these material weaknesses. However, we cannot guarantee that these remediation efforts will be successful or that additional material weaknesses will not be identified in the future. We identified material weaknesses in our internal control over financial reporting in connection with the preparation and audit of our financial statements for the fiscal years ended January 31, 2025 and 2024, and these material weaknesses continue to exist as of the date of this report.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 and maintain effective internal control over financial reporting, our ability to accurately and timely report our financial results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the remediation efforts described above, there were no changes in our internal control over financial reporting (as defined in Rules 13a-15(f) and 15d-15(f) under the Exchange Act) during the three months ended July 31, 2026, that have materially affected, or are reasonably likely to materially affect, our internal control over financial reporting.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We intend to continue to monitor and upgrade our controls and procedures as necessary or appropriate for our business, but cannot assure you that such improvements will be sufficient to provide us with effective disclosure controls and internal control over financial reporting. </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and from time to time,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operating results, financial condition or cash flows. We may become involved in legal proceedings in the future, and the outcome of any such matters is inherently uncertain. If an unfavorable outcome were to occur, it could have a material impact on our business or financial results.</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in our Class A common stock involves a high degree of risk. Before making an investment decision, you should consider carefully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included elsewhere in this report. Our business, results of operations, financial condition or prospects could also be harmed by risks and uncertainties not currently known to us or that we currently do not believe are material. If any of the following risks occur, our business,</w:t>
      </w:r>
      <w:r>
        <w:rPr>
          <w:rFonts w:ascii="Times New Roman" w:hAnsi="Times New Roman"/>
          <w:color w:val="000000"/>
          <w:sz w:val="20"/>
        </w:rPr>
        <w:t xml:space="preserve"> </w:t>
      </w:r>
      <w:r>
        <w:rPr>
          <w:rFonts w:ascii="Times New Roman" w:hAnsi="Times New Roman"/>
          <w:i/>
          <w:color w:val="000000"/>
          <w:sz w:val="20"/>
        </w:rPr>
        <w:t>results of operations, financial condition and prospects could be adversely affected. In that event, the trading price of our Class A common stock could decline, and you could lose part or all of your investment. 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r>
        <w:rPr>
          <w:rFonts w:ascii="Times New Roman" w:hAnsi="Times New Roman"/>
          <w:i/>
          <w:color w:val="000000"/>
          <w:sz w:val="20"/>
        </w:rPr>
        <w:t>This report also includes forward-looking statements that involve risks and uncertainties. Our actual results may differ substantially from those discussed in the forward-looking statements as a result of factors that are described below and elsewhere in this report or other risks that we currently deem immaterial or that may be unknown to us.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limited operating history and experience with scaling our platform, which makes it difficult to evaluate our business and prospects and forecast our future results.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limited operating history and experience with scaling our platform, which makes it difficult to evaluate our business and prospects and forecast our future results. In fiscal 2023, we generated the majority of our revenue from the </w:t>
      </w:r>
      <w:r>
        <w:rPr>
          <w:rFonts w:ascii="Times New Roman" w:hAnsi="Times New Roman"/>
          <w:i/>
          <w:color w:val="000000"/>
          <w:sz w:val="20"/>
        </w:rPr>
        <w:t xml:space="preserve">He Gets Us </w:t>
      </w:r>
      <w:r>
        <w:rPr>
          <w:rFonts w:ascii="Times New Roman" w:hAnsi="Times New Roman"/>
          <w:color w:val="000000"/>
          <w:sz w:val="20"/>
        </w:rPr>
        <w:t>media campaign. In fiscal 2024, we generated the majority of our revenue from sales of products and services through Outreach, which represented approximately 88% of our total revenue. We saw further diversification of our revenue during fiscal 2025 through acquisitions, which represented approximately 56% of our total revenue, as well as scaling our platform. Managing and expanding our operations is expensive and time-consuming, and our growth could be inhibited if we are unable to leverage our organization and resources effectively.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limited history and experience operating our current business may also negatively impact our ability to plan strategic acquisitions, investments and initiatives to further expand our business and platform offerings. In addition, existing and future operational and strategic initiatives may have long return-on-investment time-horizons. As a result, we will not be able to adequately assess the benefits of such acquisitions, investments and initiatives until we have already made substantial investments of time and capital, resulting in high opportunity costs. We are also devoting significant resources to bolstering our technology infrastructure, financial and accounting systems and controls, sales,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encountered and will continue to encounter risks and uncertainties frequently experienced by growing companies with limited operating histories. If our assumptions regarding such risks and uncertainties, which we use to plan and operate our business, are incorrect or change, or if we do not address these risks successfully, our results of operations could differ materially from our and our investors’ expectations and any longer-term benefits to our investors may not materialize within the timeframe we expect or at all, which could harm our business, results of operations, financial condition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Our recent growth may not be sustainable or indicative of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recent growth has placed and is expected to continue to place significant demands on our managerial, financial, operational, technological and other resources. The continued growth and expansion of our business depends on a number of factors, including our ability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 and grow our platform offerings and user engagement;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 increasingly complex business operations;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acquire and invest in additional Gloo Capital Partners;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 and renew subscriptions to our platform offerings;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the number of customers on our platform;</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the number and volume of transactions on our marketplace;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 our sales and marketing organization to drive our sales pipeline;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awareness of our brands;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continue to innovate and introduce new platform offerings;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maintain operational and financial systems that can support our expected growth;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continue to increase operational and financial systems automation to reduce reliance on manual operations;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 and improve our technology infrastructure.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growth and expansion of our business will require significant additional resources, financial and otherwise, to meet our needs, which may not be available in a cost-effective manner or at all. Our investments may not result in the growth of our business. Even if our investments do result in the growth of our business, if we do not effectively manage our growth, we may not be able to successfully execute on our business plan, respond to competitive pressures, take advantage of market opportunities, maintain the quality of our platform or satisfy customer expectations, any of which could adversely affect our business, results of operations, financial condition and prospects. You should not rely on our historical rate of growth as an indication of our future performance or the rate of growth we may experience going forward or with respect to any new offerings we may introduce.</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a history of net losses and may not achieve profitability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incurred net losses since our inception, and we may not be able to achieve or maintain profitability in the future. Our expenses will likely increase in the future as we expect to invest significant additional funds to develop and expand our platform, increase our sales and marketing efforts and continue to operate as a public company, and we may not be able to increase our revenue enough to offset our increased operating expenses. Our efforts to grow our business may be more costly than we expect and may not result in increased revenue or growth in our business. We may make significant capital investments and incur recurring or new costs, and our investments may not generate sufficient returns. We may also be required to raise additional capital, which may not be available to us on favorable terms or at all. Any failure to increase our revenue sufficiently to keep pace with our investments and other expenses could prevent us from achieving or maintaining profitability or positive cash flow on a consistent basis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successfully address these risks and challenges as we encounter them, our business, results of operations, financial condition and prospects could be adversely affected. We may also incur significant losses in the future for a number of reasons, including the other risks described in this report, and unforeseen expenses, difficulties, complications or delays, and other unknown events. We cannot assure you that we will ever achieve or sustain profitability and may continue to incur significant losses going forward. Any failure by us to achieve or sustain profitability on a consistent basis could have a material adverse effect on our business, financial condition and results of operations and cause the trading price of our Class A common stock to decline.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we held cash and cash equivalents of $39.3 million and had an accumulated deficit of $78.3 million. Additionally, since our inception, we have generated significant operating losses and we incurred net losses of $158.7 million and $85.8 million and used $80.5 million and $46.1 million of cash in operating activities for the years ended January 31, 2026 and 2025, respectively. We incurred a net loss of $38.1 million and used $28.0 million of cash in operating activities for the six months ended July 31, 2026. Our management assessed our current financial condition, characterized by recurring operating losses, negative cash flows, limited liquid resources and dependence on external financing, as well as the funds required to execute our business plan over the evaluation period. Based on these factors, our management has concluded there is substantial doubt about our ability to continue as a going concern for at least 12 months from the date the financial statements as of and for the six months ended July 31, 2026 are issued. Because it is not possible at this time to predict the outcome of future equity placements or additional borrowings, substantial doubt remains regarding our ability to continue as a going concern during the following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continue as a going concern will be dependent on ultimately achieving profitable operations or raising additional capital through potential equity or debt financing transactions or both. Additionally, our plans include, but are not limited to, generating revenue through subscriptions of our expanding technology and AI offerings, increased marketplace offerings and growing advertising services, as well as seeking external sources of liquidity. If adequate funds are not available, we may be required to delay or modify our business plans, potentially including the timing of planned capital expenditures, development and other activities, all of which, individually or in the aggregate, could have material negative consequences to us and our results of operations and business relationships. Additionally, the sale of additional equity may dilute existing stockholders and newly issued shares may contain senior rights and preferences compared to currently outstanding shares of our Class A common stock. Issued debt securities may contain covenants and limit our ability to pay dividends or make other distributions to stockholders.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acquire new customers or the faith and flourishing ecosystem does not develop as we anticipate, our sales will not grow as quickly as expected, or at all, and our business, financial condition and results of operations will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market for our platform is substantial. However, it is uncertain to what extent or how widespread market acceptance of our platform will be or how long such acceptance, if achieved, may be sustained. Many NCPs and CFLs have not traditionally used integrated and comprehensive platforms like ours for their specific needs. We cannot be certain that the market for our offerings will continue to develop and grow or that NCPs and CFLs will elect to use our platform over alternatives. Potential customers that have already invested substantial resources in alternatives to our platform might be reluctant to switch to our platform. If the demand for and market acceptance of our platform offerings do not increase, we might not be able to effectively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existing customers and potential customers do not perceive our offerings to be beneficial, or choose not to adopt them as a result of concerns regarding privacy, cybersecurity, accessibility or other reasons, or as a result of negative incidents or experiences they encounter through our platform, or instead opt to use alternatives to our platform, then the market for the platform may not continue to grow, may grow slower than we expect or may not achieve the growth potential we expect, any of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continue to grow our business, it is important that our customers renew or extend their subscriptions or other contracts with us and that we expand our relationships with our existing customers. Most of our customers have no obligation to renew their subscriptions or extend their contracts with us, and they may decide not to do so at the same prices and on the same terms or at all. Additionally, some of our customers may terminate their relationship with us for convenience. It is difficult to accurately predict whether we will have future success in retaining customers or expanding our relationships with them. We have experienced growth in the number of customers, but we do not know whether we will continue to achieve similar growth or achieve any growth at all. Our ability to retain customers and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 our offerings with them may decline or fluctuate as a result of a number of factors, including customers’ satisfaction with our offerings, the quality and timeliness of our customer support services, our prices, the prices and features of competing solutions, reductions in customers’ spending levels and our release of future offerings. If customers do not renew their existing subscriptions or extend their contracts with us, renew or extend on less favorable terms, or fail to expand their engagement with us, our revenue may decline or grow less quickly than anticipated, which would harm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A decrease in charitable donations or other external funding of our customers and potential customers may result in reduced demand for our platform offerings, which could adversely affect our business, results of operations,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potential customers include churches, ministries, foundations, nonprofit organizations and other members of the faith and flourishing ecosystem that fully or partially rely on charitable donations, grants, government aid and philanthropic contributions to fund their operations, including to pay for offerings like ours. Consequently, a significant portion of our revenue indirectly depends on the availability of such external funding. We have limited ability to influence the fundraising efforts and external funding decisions that impact our customers and potential customers, and any reduction in their ability to secure necessary funding for their operations exposes us to fluctuations in demand for our platform offerings, which could adversely affect our business, financial condition and results of operations. For example, the frequency and amounts of charitable donations may decrease from time to time as a result of deteriorating general economic conditions, changes to applicable tax laws, a sustained or significant decline in religious affiliation or participation in the faith and flourishing ecosystem, shifts in philanthropic priorities and other factors that limit available financial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effectively develop and expand our sales and marketing capabilities, including reliance on product-led sales efforts, could harm our ability to increase our customer base and achieve broader market acceptance and utilization of our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platform depends significantly on our ability to expand our sales and marketing organizations and deploy our resources efficiently. An important component of our growth strategy is to increase the cross-selling of our platform and services to current and future customers. However, if we are not successful in doing so, or our existing and potential customers find our additional solutions and services unnecessary or unattractive, we may not be able to increase our customer base.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expanding our direct sales force, we rely on product-led sales efforts to drive growth, where our platform is designed to attract users through self-service and organic adoption. While this strategy can reduce reliance on traditional sales methods, it poses unique challenges. Product-led efforts may have limited success if our platform does not gain sufficient visibility or resonate with prospective users. Furthermore, product-led growth requires significant investment in continuous innovation and optimization of our platform to maintain its attractiveness and utility, which may not always yield the desired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financial condition and results of operations will be harmed if our sales and marketing efforts, including our reliance on product-led sales strategies, do not generate significant increases in revenue.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certain risks as a mission-driven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mission and company values are a significant part of our business strategy and who we are as a company. We believe that customers and users value our commitment to our mission. However, because we hold ourselves to such high standards, and because we believe our customers and users have high expectations of us, we may be more severely affected by negative reports or publicity if we fail, or are perceived to have failed, to live up to our mission. As a result, our brand and reputation may be negatively affected by actions we take that are viewed as contrary to that mission. In certain situations, the damage to our reputation may be greater than to other companies that do not share similar values with us, and it may take us longer to recover from such an incident and gain back the trust of our existing and potential customers. We may make decisions regarding our business and platform offerings in accordance with our mission and values that may reduce our short- or medium-term results of operations if we believe those decisions are consistent with our mission and will improve the aggregate customer and user experience. Although we expect that our commitment to our mission will, accordingly, improve our financial performance over the long term, these decisions may not be consistent with the expectations of investors and any longer-term benefits may not materialize within the time frame we expect or at all, which could harm our business, results of operations, financial condition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on Mr. Beck and our senior management team to operate our business, and the loss of one or more of them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the continued services and performance of our co-founder, president and chief executive officer, Mr. Beck, as well as other members of our senior management team. Mr. Beck has been responsible for setting our strategic vision since our inception, and should he or other members of our senior management team discontinue serving us due to death, disability or any other reason, we may be significantly disadvantaged as it could disrupt our operations, create uncertainty among investors, adversely impact employee retention and morale, and otherwise harm our business. Their departure or the departure of other key contributors to our technology and other development efforts could adversely affect the continued growth of our business and negatively impact our financial condition and results of operations. We may have difficulty finding, or be unable to find, qualified successors to any such persons should they depart.</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to attract and retain qualified personnel could harm our business and prevent us from executing our business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new hires that we make fail to work together effectively and execute our plans and strategies on a timely basis, then our business and future growth prospects could be harmed. If we lose qualified service providers, we may need to hire additional employees, engage other third parties or reallocate internal resources to perform the work currently being done by these individuals, which could require us to incur increased costs and could result in delays or disruptions while we identify, hire and train replacement service providers. Any such transition could be more difficult to the extent these individuals possess institutional knowledge, relationships or specialized skills developed during their time with us that would be difficult to replicate.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issue equity awards to certain of our employees as part of our hiring and retention efforts, and job candidates and existing employees often consider the value of the equity awards they receive in connection with their employment. If the perceived value of our equity awards declines, including as a result of volatility or declines in the trading price of our Class A common stock or changes in perception about our future prospects (including as valuations of companies comparable to us decline due to overall market trends, inflation and related market effects or otherwise), it may adversely affect our ability to recruit and retain highly qualified employees. In addition, we may periodically change our equity compensation practices, which may include reducing the number of employees eligible for equity awards,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prospects could be harmed.</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made substantial investments in our technologies to capitalize on new and unproven business opportunities. Our future performance is dependent on continued investments in technology and our ability to innovate, enhance and introduce compelling new platform offerings for our customers and potential customers. We intend to make continued investments in these areas through hiring of highly qualified employees and ongoing technology transformation. We plan to further invest in AI-powered capabilities and leverage our unique dataset to further improve our platform offerings. If competitors introduce new offerings embodying new technologies, or if new industry standards and practices emerge, our existing technology may become obsolete. Our future success could depend on our ability to respond to technological advances and emerging industry standards and practices in a cost-effective and timely manner. These initiatives also have a high degree of risk, as they involve unproven business strategies and technologies with which we have limited development or operating experience. The success of enhancements to existing offerings and introductions of new offerings depends on several factors, including timely completion, market introduction and market acceptance. Further, our development efforts with respect to new technologies could distract management from current operations and divert capital and other resources from other initiatives, and may not result in long-term revenue growth.</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develop, maintain and enhance our brand and reputation cost-effectively, our business, financial condition and results of operations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 brand identity, reputation and awareness of Gloo and Gloo Capital Partners is critical to our sales and marketing efforts and continued business growth. In the faith and flourishing ecosystem, our reputation and the quality of our brand are uniquely important to our business, and the faith and flourishing ecosystem is particularly susceptible to scrutiny and criticism. We also believe that maintaining and enhancing these brands are critical to maintaining and expanding our customer base. Any unfavorable publicity about our company or our management, including about the quality, stability and reliability of our platform, changes to our platform, our privacy and cybersecurity practices, litigation, employee relations, regulatory enforcement and other actions involving us, as well as the perception of us and our platform by our customers and users, even if inaccurate, could cause a loss of confidence in us and adversely affect our brand.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widespread use of social media platforms and other forms of internet-based communication provide individuals with access to a broad audience of consumers and other interested persons. Many social media platforms immediately publish the content their users post, often without filters or checks on the accuracy of the content. Adverse or inaccurate information concerning us may be posted on such platforms at any time, and such posts can be amplified quickly, potentially harming our reputation, performance, prospects or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rely on the reputation of third parties affiliated with us, such as partners across the faith and flourishing ecosystem, to reflect positively on our business. Unfavorable media coverage or public controversy involving these affiliated third parties, even if we are not directly involved, may be perceived by our users and customers as reflecting poorly on us or our values. Although our acceptable use policy incorporated into our terms of service provides for express limitations on how our customers can use our platform and we reserve our right to remove content that violates our acceptable use policy, it may not always be possible to remove such content prior to it receiving unfavorable attention or publicity. Any such harm to our brand and reputation could diminish trust among our customers and users, negatively impact demand for our platform and adversely affect our business. Negative publicity involving us or affiliated third parties could also have an adverse effect on the size and engagement of our customer base and could result in decreased revenue, which could have an adverse effect on our business, financial condition and results of operations.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markets in which we participate are competitive, and if we do not compete effectively, our business, financial condition and results of operations could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platform operates across a broad and highly fragmented market. We believe our competition primarily falls into five categories: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Proprietary and custom systems, including larger ministries that build internal technology stacks that compete with our Gloo 360 solutions;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Traditional advertising networks, including large media and marketing platforms that offer reach and audience access such as Meta and Google that compete with the Gloo Media Network;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Technology development solutions, including providers that compete with the platform solutions offered by our Gloo Capital Partners, Midwestern and Servant.io;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Specialized and general e-commerce marketplaces, including providers of physical and digital products sold to CFLs for their operations, such as Amazon and Concordia Supply that compete with Outreach and our other e-commerce marketplaces.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may have greater resources, broader brand recognition, deeper relationships with customers or more experience with certain technologies. If we fail to differentiate our offerings, maintain or grow our relationships with key ministry leaders and churches, or effectively adapt to evolving technology and customer preferences, we may fail to achieve widespread adoption of our platform and our business, financial condition and results of operations could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We</w:t>
      </w:r>
      <w:r>
        <w:rPr>
          <w:rFonts w:ascii="Times New Roman" w:hAnsi="Times New Roman"/>
          <w:color w:val="000000"/>
          <w:sz w:val="20"/>
        </w:rPr>
        <w:t xml:space="preserve"> </w:t>
      </w:r>
      <w:r>
        <w:rPr>
          <w:rFonts w:ascii="Times New Roman" w:hAnsi="Times New Roman"/>
          <w:b/>
          <w:i/>
          <w:color w:val="000000"/>
          <w:sz w:val="20"/>
        </w:rPr>
        <w:t>have been and may in the future become subject to claims, lawsuits, investigations, litigation and other proceedings that may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from time to time been subject to claims, disputes, regulatory investigations or legal proceedings. We may in the future be subject to claims, disputes, regulatory investigations, class action, whistleblower and other litigation, and other proceedings, including those relating to intellectual property, privacy, commercial, recordings, AI-technologies, product liability, employment or the use of cookies, pixels or other tracking technology. The number and significance of any claim, dispute, investigation, litigation or other proceeding may increase as our business expands. Any such actual or threatened matter, even if unfounded, can be time-consuming, divert management’s attention and resources, cause us to incur significant expenses or liability or require us to change our business practices. In addition, the amount and timing of expenses that we may need to incur in response to any of the foregoing matters from period to period are difficult to estimate, subject to change and may harm our financial condition and results of operations. Because of the potential risks, expenses and uncertainties of any claim, dispute, regulatory investigation, litigation or other proceeding, we may choose to settle these matters even where we have meritorious claims or defenses. Any of the foregoing matters may harm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require additional capital to support the growth of our business, and such capital might not be available on favorable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and growing our business have consumed substantial amounts of cash since inception and we intend to continue to make significant investments to support our business growth, acquire or invest in complementary businesses and technologies, respond to business challenges or opportunities, develop new offerings and enhance our existing platform and technology infrastructure. Our future capital requirements may be significantly different from our current estimates and will depend on many factors, including the need to finance unanticipated working capital requirements, develop or enhance our technological infrastructure and our existing offerings and manage costs associated with adverse market conditions or other macroeconomic factors. We may be presented with opportunities that we want to pursue, and unforeseen challenges may present themselves, any of which could cause us to require additional capital. If, in the future, we aim to rely on funds raised through equity or debt financing, those funds may prove to be unavailable, may only be available on terms that are not acceptable to us or may result in significant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dilution to our stockholders or higher levels of leverage, which would expose our business to additional risks. Any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it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payment-related risks and may incur significant losses from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accept payments using a variety of methods, including credit card, debit card, and other third-party payment vendors, which subjects us to certain regulations and the risk of fraud, and we may in the future offer new payment options to customers that would be subject to additional regulations and risks. We pay interchange and other fees in connection with credit card payments, which may increase over time and adversely affect our operating results. While we use a third party to process payments, we are subject to payment card association operating rules and certification requirements, including the Payment Card Industry Data Security Standard and rules governing electronic funds transfers. If we fail to comply with applicable rules and regulations, we may be subject to fines or higher transaction fees and may lose our ability to accept online payments or other payment card transactions. In addition, we may become liable for fraudulent transactions and our failure to adequately prevent fraudulent transactions could damage our reputation, result in litigation or regulatory action and lead to expenses that could substantially impact our operating results. If any of these events were to occur, our business,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procure third-party insurance policies to cover various operations-related risks, including employment practices liability, workers’ compensation, business interruptions, errors and omissions, cybersecurity and data breaches, crime, directors’ and officers’ liability,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The foregoing factors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contractual requirements to obtain insurance. For example, some of our agreements with partners require that we procure certain types of insurance, and if we are unable to obtain and maintain such insurance, we may be in violation of the terms of these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related to the banking ecosystem, including through our bank partnership, FDIC regulations and policies, and other regulatory obligations, which could adversely affect our liquidity and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Volatility in the banking and financial services sectors, including bank failures, may impact our bank partnership and negatively impact our business. For example, we maintain domestic cash deposits in Federal Deposit Insurance Corporation (“FDIC”) insured banks that exceed the FDIC insurance limits and we intend to offer access to FDIC-insured deposit products through our partnership with our bank partner, which is a member of the FDIC.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through contractual obligations to our bank partner in connection with these programs, we are subject to risk management standards for third-party relationships in accordance with federal bank regulatory guidance and examinations by our bank partner’s federal banking regulator. Should we or our bank partner be unable to satisfy these standards, we may have to discontinue certain products or third-party relationships, and our business, financial condition and results of operations may be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Acquisitions and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completed more than 16 acquisitions and investments to date, including Outreach, Visitor Reach, Barna, Carey Nieuwhof Communications Ltd., Servant, Masterworks, Creative Group, LLC and its wholly-owned subsidiaries, XRI Global, Inc. (“XRI”), Westfall Group Inc. (“Westfall Group”), Midwestern, Sermons Tech, and EMD Acquisition, and we expect to continue to pursue acquisitions and investments as part of our growth strategy. Refer to </w:t>
      </w:r>
      <w:r>
        <w:rPr>
          <w:rFonts w:ascii="Times New Roman" w:hAnsi="Times New Roman"/>
          <w:i/>
          <w:color w:val="000000"/>
          <w:sz w:val="20"/>
        </w:rPr>
        <w:t>Note 4, Business Combinations</w:t>
      </w:r>
      <w:r>
        <w:rPr>
          <w:rFonts w:ascii="Times New Roman" w:hAnsi="Times New Roman"/>
          <w:color w:val="000000"/>
          <w:sz w:val="20"/>
        </w:rPr>
        <w:t xml:space="preserve"> for additional information on the EMD Acquisition. For additional details, see </w:t>
      </w:r>
      <w:r>
        <w:rPr>
          <w:rFonts w:ascii="Times New Roman" w:hAnsi="Times New Roman"/>
          <w:i/>
          <w:color w:val="000000"/>
          <w:sz w:val="20"/>
        </w:rPr>
        <w:t>Note 4, Business Combinations</w:t>
      </w:r>
      <w:r>
        <w:rPr>
          <w:rFonts w:ascii="Times New Roman" w:hAnsi="Times New Roman"/>
          <w:color w:val="000000"/>
          <w:sz w:val="20"/>
        </w:rPr>
        <w:t xml:space="preserve">, and </w:t>
      </w:r>
      <w:r>
        <w:rPr>
          <w:rFonts w:ascii="Times New Roman" w:hAnsi="Times New Roman"/>
          <w:i/>
          <w:color w:val="000000"/>
          <w:sz w:val="20"/>
        </w:rPr>
        <w:t>Note 5, Equity Method Investments</w:t>
      </w:r>
      <w:r>
        <w:rPr>
          <w:rFonts w:ascii="Times New Roman" w:hAnsi="Times New Roman"/>
          <w:color w:val="000000"/>
          <w:sz w:val="20"/>
        </w:rPr>
        <w:t>, to our audited consolidated financial statements included in Part II, Item 8 of our Annual Report on Form 10-K for the year ended January 31, 2026.</w:t>
      </w:r>
      <w:r>
        <w:rPr>
          <w:rFonts w:ascii="Times New Roman" w:hAnsi="Times New Roman"/>
          <w:color w:val="0000FF"/>
          <w:sz w:val="20"/>
        </w:rPr>
        <w:t xml:space="preserve"> </w:t>
      </w:r>
      <w:r>
        <w:rPr>
          <w:rFonts w:ascii="Times New Roman" w:hAnsi="Times New Roman"/>
          <w:color w:val="000000"/>
          <w:sz w:val="20"/>
        </w:rPr>
        <w:t xml:space="preserve">We expect to continue to pursue strategic acquisitions and investments intended to enhance and grow our platform and business. In evaluating and determining the purchase price for a prospective acquisition or investment, we estimate future revenues and profits based largely on historical financial performance and expected future contribution value to our platform. Following a transaction, the business we acquired or invested in may not perform as we expected and the anticipated benefits of the transaction, including our revenue or return on investment assumptions, may not be fully realized or at all. For example, for fiscal 2024, primarily because of delays in executing on strategic initiatives related to our Outreach acquisition consummated during fiscal 2023, we recorded a $27.8 million impairment charge to goodwill. For additional details about the impairment charge recorded to goodwill, see </w:t>
      </w:r>
      <w:r>
        <w:rPr>
          <w:rFonts w:ascii="Times New Roman" w:hAnsi="Times New Roman"/>
          <w:i/>
          <w:color w:val="000000"/>
          <w:sz w:val="20"/>
        </w:rPr>
        <w:t>Note 11, Goodwill</w:t>
      </w:r>
      <w:r>
        <w:rPr>
          <w:rFonts w:ascii="Times New Roman" w:hAnsi="Times New Roman"/>
          <w:color w:val="000000"/>
          <w:sz w:val="20"/>
        </w:rPr>
        <w:t>, to our audited consolidated financial statements included in Part II, Item 8 of our Annual Report on Form 10-K for the year ended January 31, 2026.</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perform a due diligence review of each of our acquisition and investment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will have indemnification obligations to us under an acquisition or merger agreement, these obligations usually will be subject to financial limitations, such as general deductibles and maximum recovery amounts, as well as time limitations and risks related to collection.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financial condition and results of operations.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significant portion of our growth has been driven by our acquisitions of and investments in complementary businesses and technologies that grow our platform offerings, expand our reach and strengthen valuable relationships. However, there can be no assurance that we will find attractive acquisition or investment targets in the future, that we will acquire or invest in them at attractive prices, that we will succeed at effectively managing integration into our existing operations or that such acquisitions or investments will be well received by our current and potential customers or our investors. We could also encounter higher-than-expected earn-out payments, unforeseen transaction- and integration-related costs or delays or other circumstances such as disputes with or the loss of key or other personnel from acquired businesses, challenges or delays in integrating systems or technology of acquired businesses, a deterioration in our key relationships, harm to our reputation with customers, interruptions in our business activities or unforeseen or higher-than-expected inherited liabilities. Many of these potential circumstances are outside of our control and any of them could result in increased costs, decreased revenue, decreased synergies or the diversion of management time and attention.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for us to continue to grow our business through acquisitions and investments we will need to identify appropriate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or the issuance of equity to pay purchase consideration, would result in dilution to our stockholders.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Sellers in our acquisitions of Visitor Reach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our acquisition of Visitor Reach, we granted the counterparties contractual rights to repurchase a portion of the business interests that we acquired, subject to certain conditions and over specified periods. If these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2026 for Visitor Reach were exercisable as of such date and were exercised on such date, we would be required to deconsolidate $3.8 million, or 4.1%, of our fiscal 2025 revenue and $1.1 million, or 0.7%, of our fiscal 2025 net loss. If all repurchase rights outstanding as of January 31, 2025 were exercisable for Visitor Reach as of such date and were exercised on such date, we would be required to deconsolidate $0.2 million, or 0.9%, of our fiscal 2024 revenue and $0.2 million, or an immaterial percent, of our fiscal 2024 net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increase the consideration paid for acquisitions, which then may also increase the likelihood that we take impairment charges subsequent to the closing of acquisitions or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Sellers in certain of our prior investments have the right to require Mr. Beck and certain of his affiliates to purchase the Gloo shares received in such transaction</w:t>
      </w:r>
      <w:r>
        <w:rPr>
          <w:rFonts w:ascii="Times New Roman" w:hAnsi="Times New Roman"/>
          <w:color w:val="000000"/>
          <w:sz w:val="20"/>
        </w:rPr>
        <w:t xml:space="preserve"> </w:t>
      </w:r>
      <w:r>
        <w:rPr>
          <w:rFonts w:ascii="Times New Roman" w:hAnsi="Times New Roman"/>
          <w:b/>
          <w:i/>
          <w:color w:val="000000"/>
          <w:sz w:val="20"/>
        </w:rPr>
        <w:t>at a given price during specified periods. If such rights are exercised and Mr. Beck chooses to sell a substantial number of the shares of Class A common stock owned by him or his affiliates to obtain funding for such purchases, the trading price of our Class A common stock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certain of our prior investments, Mr. Beck has granted sellers the right to require him and certain of his affiliates, who collectively own a significant number of our outstanding shares of common stock, to purchase the Gloo shares received in the transaction at a given price during specified periods. If any such rights are exercised, Mr. Beck and his affiliates may choose to liquidate a substantial number of our shares of Class A common stock to finance the purchase price. Any substantial sale of shares by Mr. Beck or his affiliates could cause the trading price of our Class A common stock to decline.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required to acquire full ownership of Barna Holdings LLC under unfavorable terms upon the termination of one of such company's executive officers, which could materially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2025, we acquired a 49% equity interest in Barna. Under the organizational documents of Barna and an employment agreement with one of its executives, if such executive is terminated under certain conditions and circumstances, we may be obligated to acquire the remaining ownership interest in Barna at fair market value as determined by an independent qualified appraiser. Such acquisition may occur at a time or on terms that we do not believe to be favorable to us and may require us to make a significant unplanned capital expenditure. Such acquisition could materially affect our liquidity, require us to raise additional capital and divert management attention, each of which could materially adversely affect our financial condition and results of operations.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Acquisitions and investments could divert the attention of management, disrupt our business and otherwise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business strategy, we have made and intend to continue to make acquisitions and investments to expand our platform offerings and grow our business in response to changing technologies and competitive pressures. Any acquisition or investment, including the integration process, requires significant time and resources that may divert the attention of our management from day-to-day operations, strain our internal resources and disrupt our business, and we may not be able to manage the process successfully. Even when acquisitions and investments are completed successfully, we may face challenges integrating the acquired business, including aligning cultures, systems, personnel, customer relationships and operational processes. If we fail to successfully integrate acquisitions or investments, our business, results of operations, financial condition and prospects could be harmed. Our strategy may change over time and future acquisitions and investments we complete could be viewed negatively by customers, users,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maintain our company culture as we grow through acquisitions and investments, our business, financial condition, results of operations and prospects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our culture is a critical component of our success to date. Any failure to preserve our culture as we grow through acquisitions and investments could negatively affect our ability to retain and recruit personnel, which is critical to our growth, and to effectively focus on and pursue our corporate objectives. As we grow and develop, we may find it difficult to maintain core values and mission alignment. If we are unable to successfully preserve our culture during periods of growth, we may experience reduced morale, lower retention rates of key personnel and decreased engagement. If we are not able to maintain our culture, we could lose the innovation, passion and dedication of our team. A failure to maintain our culture may adversely affect our business, financial condition, results of operations and prospects.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Technology and Intellectual Property</w:t>
      </w:r>
    </w:p>
    <w:p>
      <w:pPr>
        <w:pStyle w:val="TextBody"/>
        <w:bidi w:val="0"/>
        <w:spacing w:before="240" w:after="283"/>
        <w:jc w:val="both"/>
        <w:rPr>
          <w:rFonts w:ascii="Times New Roman" w:hAnsi="Times New Roman"/>
          <w:sz w:val="20"/>
        </w:rPr>
      </w:pPr>
      <w:r>
        <w:rPr>
          <w:rFonts w:ascii="Times New Roman" w:hAnsi="Times New Roman"/>
          <w:b/>
          <w:i/>
          <w:color w:val="000000"/>
          <w:sz w:val="20"/>
        </w:rPr>
        <w:t>Interruptions or performance problems associated with our platform and the technology we use might harm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Our reputation and ability to attract, retain and serve our customers is dependent upon the reliable performance and security of our technology systems and those of third parties, including data center hosting facilities, that we use in our operations. These systems may be subject to damage or interruption, including from earthquakes, adverse weather conditions, other natural disasters, terrorist attacks, power loss, telecommunications failures and cybersecurity breaches and incidents. We believe the risk of us suffering physical- and cyber-attacks is uniquely heightened due to our close affiliation with the faith and flourishing ecosystem</w:t>
      </w:r>
      <w:r>
        <w:rPr>
          <w:rFonts w:ascii="Times New Roman" w:hAnsi="Times New Roman"/>
          <w:color w:val="1D1C1D"/>
          <w:sz w:val="20"/>
        </w:rPr>
        <w:t>.</w:t>
      </w:r>
      <w:r>
        <w:rPr>
          <w:rFonts w:ascii="Times New Roman" w:hAnsi="Times New Roman"/>
          <w:color w:val="000000"/>
          <w:sz w:val="20"/>
        </w:rPr>
        <w:t xml:space="preserve"> Interruptions in these systems, or with the internet in general, could leave our service unavailable or degraded, or otherwise hinder our ability to deliver our platform offerings to our customers. Service interruptions, errors in our software or the unavailability of technology systems used in our operations could diminish the overall attractiveness of our platform offerings to existing and potential customers. Such systems are also vulnerable to cybersecurity breaches and incidents, including cyber-attacks such as computer viruses, denial-of-service attacks, physical or electronic break-ins and similar disruptions. These systems periodically experience directed attacks intended to lead to interruptions and delays in our service and operations as well as loss, misuse or theft of data. Any attempt by hackers to obtain our data (including customer and corporate information) or technology (including digital content assets), disrupt our service or otherwise access our systems, or those of third parties we use, if successful, could harm our business, be expensive to remedy and damage our reputation. We have implemented certain systems and processes to thwart hackers and protect our data and systems. To date, hackers have not had a material impact on our service or systems; however, there can be no assurance that hackers may not be successful in the future. Efforts to prevent hackers from disrupting our service or otherwise accessing our systems are expensive to implement and may limit the functionality of or otherwise negatively impact our service offering and systems. Any significant disruption to our service or access to our systems could result in a loss of customers and adversely affect our business and results of operation.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depend on the ability of users and customers to access the internet. Currently, this access is provided by companies that have significant market power in the broadband and internet access marketplace, including incumbent telephone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cable companies, mobile communications companies, government-owned service providers, device manufacturers and operating system providers, any of whom could take actions that degrade, disrupt or increase the cost of access to our platform offerings, which would, in turn, negatively impact our business. The adoption of any laws, rules or regulations that adversely affect the use of the internet, including laws, rules, regulations or practices limiting internet neutrality, could decrease the demand for, or the usage of, our platform offerings, increase our cost of doing business and adversely affect our business, financial condition and results of operations. We also rely on other companies to maintain reliable network systems that provide adequate speed, data capacity and security to us and our users. Because our customers use these services for important aspects of their organizations and ministries, any defects, delays or disruptions in service or other performance problems with our platform could hurt our reputation and damage our customers’ operations. Frequent or persistent service interruptions could cause customers to believe that our platform offerings are unreliable and undermine our operations. To the extent that we do not effectively address capacity constraints, upgrade our systems as needed or continually develop our technology and network architecture to accommodate actual and anticipated changes in technology, our business, results of operations, financial condition and prospects could be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We depend on the interoperability of our platform across third-party applications and services that we do not control.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is designed to integrate with, and operate alongside, a wide range of third-party applications and services, some of which are critical to the operation of our platform. These include, for example, Amazon Web Services, Bandwidth and Stripe. As our platform expands and evolves, we may have an increasing number of integrations with other third-party applications, products and services. Third-party applications, products and services are constantly evolving, and we may not be able to maintain or modify our platform to ensure its compatibility with our publishers following development changes. In addition, some of our competitors or technology partners may take actions that disrupt the interoperability of our platform with their own products or services, or exert strong business influence on our ability to, and the terms on which we operate. As our platform evolves, we expect the types and levels of competition to increase. Should any of our competitors or technology partners modify their solutions, standards or terms of use in a manner that degrades the functionality or performance of our platform or is otherwise unsatisfactory to us or gives preferential treatment to competitive solutions or services, our business, financial condition, results of operations and prospects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Engagement by users on our platform and our ability to monetize our platform depend upon effective operation within and compatibility with operating systems, networks, devices, web browsers and standards, including mobile operating systems, networks and standards that we do not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make our platform available across a variety of operating systems and through websites. We are dependent on the compatibility of our platform with popular devices, desktop and mobile operating systems, and web browsers that we do not control, such as Android and iOS. Any changes in such systems, devices or web browsers that degrade the functionality of our platform or give preferential treatment to competitive content could adversely affect usage of our platform.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developing new AI platform offerings and incorporating AI-technology into certain of our platform offerings, which may result in operational, financial and reputational harm and other adverse consequences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focused on developing AI-powered offerings on our platform and incorporating AI into existing offerings. The technologies underpinning these features are in the early stages of commercial use and exist in an emerging regulatory environment, which presents regulatory, litigation, ethical, reputational, operational and financial risks. U.S. and international governmental bodies and regulators have proposed, or are in the process of developing, new laws and regulations related to the use of AI and machine learning technologies. For example, the EU Artificial Intelligence Act and the various laws in the U.S. regulate aspects of the development and deployment of AI technologies. The way in which regulators and governments ultimately interpret or enforce new and proposed AI regulations may impose obligations related to our development, offering and use of AI technologies and expose us to increased risk of regulatory enforcement and litigation. It may also impact our customers’ and potential customers’ demand for our AI-powered offerings.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expect that many of our generative AI features will include the processing of confidential information and may be subject to laws, policies, legal obligations and codes of conduct related to privacy. There is uncertainty about the extent to which privacy laws apply to AI technologies, and any delay in addressing privacy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use of AI technologies and the implementation of generative AI technologies into our platform offerings may result in exposure to claims related to infringement or other violation of a third party’s intellectual property rights or other third-party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many of our AI features may rely on third-party service providers. As such, any improper processing of confidential information or personal information by these service providers could harm our reputation, business or customers, or expose us to legal liability. Any disruption or failure in our AI systems or infrastructure, or those of our third-party service providers, could result in delays or errors in our operations, which could harm our business and financial results. As with many innovations, AI presents risks and challenges that could affect its adoption, and therefore our business. AI algorithms or training methodologies may be flawed. Datasets may be overbroad, insufficient, or contain biased information. Our generative AI technology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platform offerings. Likewise, the use of AI involves significant technical complexity and requires specialized expertise. The success of any enhancement or new product depends on many factors, including its relevance to our customers, timely implementation and market acceptance. If our AI-powered platform offerings fail to achieve widespread market adoption or there is a reduction in demand due to a lack of customer acceptance, technology challenges, strengthening competition, weakening economic conditions or cybersecurity or privacy concerns, our business could be harmed and our financial results could be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If we or our third-party service providers experience a cybersecurity breach or other incident, including any breach or incident that allows, or is perceived to allow, unauthorized access to our platform or our data, our reputation and brand, business, financial condition and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of or unauthorized access to third-party IT Systems can adversely affect our business, financial condition and results of operations. If we experience difficulties in implementing new or upgraded IT Systems or experience significant failures or other disruptions of our IT Systems, or if we are unable to successfully obtain or procure IT Systems or otherwise modify our IT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related problems could, in turn, adversely affect our business, reputation and brand, financial condition and results of operations.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or personal information and other information about individuals, our customers, employees, contractors and business partners (“Sensitive Information”). Our third-party service providers may fail to adequately secure their or our IT Systems or our data. Our ability to monitor our service providers’ security is limited, and, in any event, third parties may be able to circumvent those security measures. Moreover, techniques used to obtain unauthorized access to systems and networks change frequently and may not be known until launched against us or our third-party service providers. Certain AI technologies, including technologies that facilitate the identification and exploitation of security vulnerabilities, may increase the susceptibility of our IT Systems to security breaches and incidents and may cause security breaches and incidents affecting our IT Systems to be more impactful.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remote working arrangements at our company, and many of our third-party providers, increase cybersecurity risks due to the challenges associated with managing remote computing assets and security 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face numerous and evolving cybersecurity risks,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We may be unable to detect, prevent, mitigate, remediate or otherwise respond to cybersecurity breaches or other incidents, or to avoid a material adverse impact to our IT Systems, data or business. Notwithstanding our efforts, we and our third-party service providers have failed to and may in the future fail to detect cybersecurity breaches or other incidents, including potential breaches or incidents that may compromise our IT Systems or data, and may face difficulties or delays in identifying any such breaches or incidents. Such breaches or incidents have resulted in and may in the future result in theft, loss, damage, unavailability of, or unauthorized access to or use, disclosure, modification or other processing of, our data, loss of access to our data or IT Systems or cause other business delays or disruptions.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use of our platform involves the transmission, storage and processing of Sensitive Information. The secure processing, maintenance, transmission and storage of our Sensitive Information is critical to us, and we devote significant resources to protecting this information. We expect our management, use and storage of Sensitive Information to increase, including through the use of AI and our managed IT services. Any actual or perceived cybersecurity breach or other incident, including any unauthorized or inadvertent access to, our IT Systems and any loss or unavailability of, unauthorized access to, or unauthorized use, disclosure, modification or other processing of, our data, could result in regulatory investigations and other proceedings, orders and other obligations, claims, demands, litigation and other proceedings, indemnity obligations, damages, penalties, fines and incurring other costs, violations of applicable laws and regulations and other liabilities, the perception that our platform offerings are insecure and the loss of existing customers or failure to attract and retain new customers, which could have a material and adverse effect on our business, financial condition and results of operations.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We cannot be certain that our insurance coverage will be adequate for all liabilities incurred relating to any cybersecurity breach or incident, or that insurance will continue to be available to us on economically reasonable terms, if at all.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adequately maintain or protect or effectively enforce our technology or intellectual property rights,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trademark, trade secret and copyright protections, and contractual restrictions to protect our intellectual property rights. However, effective intellectual property rights protection is expensive to obtain and maintain, including with respect to the expenses and costs of clearing, prosecuting, registering, maintaining, defending and enforcing our intellectual property rights. Although we may incur substantial costs in protecting our technology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intellectual property, we cannot be certain that we have adequately protected or will be able to adequately protect our technology and intellectual property or that our competitors will not be able to utilize our existing technology or develop similar technology independently. Given the costs and expenses of registering and maintaining, protecting, defending and enforcing our intellectual property rights, we may choose not to register, maintain, protect, defend or enforce certain intellectual property rights that later turn out to be important. Further, we may not timely or successfully register our trademarks or otherwise secure our intellectual property rights, or timely challenge the intellectual property rights of others. Our efforts to protect, maintain or enforce our intellectual property rights may be ineffective and could result in substantial costs and diversion of resources, which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efforts to protect our technology and intellectual property rights, it may be possible for third parties to obtain and use our technology and intellectual property without our consent. In addition, unauthorized parties may also independently develop technology and intellectual property similar to ours, or obtain access to our trade secrets, know-how or other technology through various methods, including through cybersecurity attacks, or reverse engineering, and our methods of protecting this technology may be inadequate. We have in the past been, and may in the future be, subject to others infringing or otherwise violating our intellectual property rights. Competitors have adopted, and may in the future adopt, trademarks similar to ours, thereby harming our ability to build brand identity and possibly leading to end-customer confusion.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state and federal courts of the United States, the U.S. Patent and Trademark Office or other governmental authorities and administrative bodies in the United States and abroad may be necessary in the future to protect or enforce our intellectual property rights, defend our business activities and determine the validity and scope of the intellectual property rights of others.</w:t>
      </w:r>
    </w:p>
    <w:p>
      <w:pPr>
        <w:pStyle w:val="TextBody"/>
        <w:bidi w:val="0"/>
        <w:spacing w:before="240" w:after="283"/>
        <w:jc w:val="both"/>
        <w:rPr>
          <w:rFonts w:ascii="Times New Roman" w:hAnsi="Times New Roman"/>
          <w:sz w:val="20"/>
        </w:rPr>
      </w:pPr>
      <w:r>
        <w:rPr>
          <w:rFonts w:ascii="Times New Roman" w:hAnsi="Times New Roman"/>
          <w:b/>
          <w:i/>
          <w:color w:val="000000"/>
          <w:sz w:val="20"/>
        </w:rPr>
        <w:t>Intellectual property infringement assertions or other assertions of violations of intellectual property rights by third parties could result in significant costs and adversely affect our business, financial condition, results of operations and reputation.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operate in an industry with relatively frequent intellectual property disputes and litigation. Other parties have in the past asserted, and may assert in the future, that we have infringed or otherwise violated their intellectual property rights. We could be required to pay substantial damages or cease using technology, trademarks or other intellectual property or taking actions that are deemed infringing or otherwise violating third party intellectual property rights. In addition, despite our efforts to ensure that our employees, consultants, vendors and service providers do not infringe or otherwise violate the intellectual property rights of third parties in their work for us, we have in the past been, and may in the future be, subject to claims that we or our employees, consultants, vendors or service providers have inadvertently or otherwise infringed or otherwise violated a third party’s intellectual property rights. Further, we cannot predict whether claims of infringement or other violations of a third-party’s intellectual property rights would substantially adversely affect our business, financial condition and results of operations. The defense of these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may need to license intellectual property rights or technology from third parties which may require us to pay royalties or make one-time payments. We might also be obligated to indemnify our customers or other companies in connection with any such litigation and to obtain licenses, modify our technology or refund fees, which could harm our financial results. Further, an adverse outcome of any such claim may harm our brand and reputation, and require us to pay damages, potentially including treble damages and attorneys’ fees if we are found to have willfully infringed a party’s patent, trademark or copyright rights, cease use of intellectual property alleged to infringe or otherwise violate the intellectual property of others, or otherwise cease making, licensing or using technology that is alleged to infringe or otherwise violate the intellectual property rights of others, expend additional development resources to redesign our offerings, or enter into potentially unfavorable royalty or license agreements in order to obtain the necessary rights under such third party’s intellectual property rights. Royalty or licensing agreements with respect to intellectual property rights of third parties, if required, may not be available on terms favorable to us, or available at all. Even if these matters do not result in litigation or are resolved in our favor or without significant cash settlements, the time and resources necessary to resolve them could adversely affect our business, financial condition, results of operations and reputation.</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hosting, distributing and training AI models on large quantities of third-party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involves hosting, distributing and training AI models on content supplied by others, including licensed and public datasets. Some of that content may violate a third party’s rights or a law, rule or regulation, and we could face lawsuits, liability or negative publicity for hosting or distributing such content, such as claims for fraud, defamation, libel, invasion of privacy, negligence, copyright or trademark infringement or other theories based on the nature of such information or content. Such lawsuits, liability, negative publicity or claims, with or without merit, could be costly to defend or divert the attention of our management or other personnel.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take steps to mitigate such risks, we cannot guarantee that those steps will be effective or sufficient to protect us from liability or to minimize our costs. Preventing or responding to these actions may require us to make substantial investments in people and technology and these investments may not be successful, adversely affecting our business, financial condition and results of operations. For example, we take steps to avail ourselves of the safe harbor for copyright infringement under the Digital Millennium Copyright Act of 1998 (“DMCA”). The DMCA is intended, among other things, to reduce the liability of online service providers with respect to user-uploaded content. Under the DMCA there are safe harbors for copyright infringement available for online service providers that provide specific services, if they take certain affirmative steps as required under the DMCA. The applications and interpretations of the statutory requirements of the DMCA are evolving and may be modified by court rulings and industry practice. We therefore cannot guarantee that we will meet the safe harbor requirements of the DMCA, despite our efforts to do so. If we fail to comply with such statutory requirements or if the interpretations of the DMCA change, we may be subject to liability for copyright infringement resulting from our hosting and distribution of user-generated content.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platform offerings contain third-party open-source software components, and failure to comply with the terms of the underlying open-source software licenses could adversely affect our business, results of operations,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platform contains software modules licensed to us by third-party authors under “open source” licenses. In addition to our proprietary algorithms, we use open-source large language models as the base for our fine-tuned models.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In addition, the public availability of such software may make it easier for others to compromise our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Some open source licenses contain requirements that may, depending on how the licensed software is used, modified or distributed, require that licensees make available source code for modifications or derivative works created based upon the licensed open source software, authorize further modification and redistribution of that source code, make that source code available at little or no cost, or grant other licenses to the licensee’s intellectual property. If we combine our proprietary software with open-source software in a certain manner, we could, under certain open-source licenses, be required to release the source code of our proprietary software under the terms of an open source software license. This could enable our competitors to create similar offerings with lower development effort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require vendors of open-source software to be separately categorized and reviewed as part of our vendor management process, compliance with that policy may be inconsistent. We have not formalized the policies or procedures to monitor our use of open-source software. The terms of many open-source licenses have not been interpreted by U.S. or foreign courts, and there is a risk that these licenses could be construed in a way that could impose unanticipated conditions or restrictions on our ability to provide or distribute our platform offerings. From time to time, there have been claims against companies that incorporate open-source software into their offerings alleging that the use of such open-source software infringes upon the intellectual property rights of a third party. As a result, we could be subject to similar lawsuits by third parties with respect to our use of software that we believe to be open-source software. If we are held to have breached or failed to fully comply with all the terms and conditions of an open source software license, we could face infringement or other liability, or be required to seek licenses from third parties to continue providing our platform on terms that are costly or not economically feasible, to re-engineer our platform, to discontinue or delay the provision of our platform if re-engineering could not be accomplished on a timely basis, or to make our proprietary code generally available in source code form, any of which could adversely affect our business, financial condition or results of operations.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Regulation and Taxation</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payroll compliance, the design and operation of websites and the 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 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customer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 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 Significant additional laws or regulations, or our failure to comply with any laws and regulations that now, or could in the future, apply to our business could materially adversely affect our business, financial condition, results of operations and prospects. In addition, changes in regulations could negatively impact the business environment for the industry we operate in. Laws and regulations are rapidly evolving and may change significantly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or are alleged to fail to comply with privacy or cybersecurity laws, regulations and other obligations, our business, financial condition, results of operations and reputation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receive, collect, store, use and otherwise process personal information and other confidential or proprietary data, for numerous purposes, including legal, marketing and other business-related purposes. Depending on various factors, including the nature of the information and the relationship with our users, we may act as either a data controller or business, or a data processor or service provider, each of which carries distinct legal and regulatory commitments under applicable privacy laws. As a data controller or business, we are directly responsible for determining the purposes and means of processing personal information, which subjects us to stringent requirements, including regarding privacy, transparency and accountability. Conversely, when we act as a data processor or service provider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behalf of our clients, we are obligated to process personal information in accordance with their instructions and applicable contractual terms and privacy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laws, regulations and other obligations that govern privacy and cybersecurity, including with respect to marketing, consumer protection and our collection, storage, sharing, use, disclosure, protection, sale and other processing of personal information. The regulatory framework for privacy and cybersecurity may be subject to new or differing interpretations, inconsistent, or conflicting with, other obligations, and is expected to remain rapidly evolving and to increase our compliance costs and liability exposure.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these laws, regulations and other obligations impose differing obligations depending on whether we are acting as a data controller or business, or a data processor or service provider. For example, as a data controller or business, we are required to meet obligations around obtaining data subject consents, enabling individuals to exercise their rights under applicable laws, and ensuring data accuracy. As a data processor or service provider, our primary obligations focus on implementing appropriate security measures, following the instructions of the data controller or business and assisting the controller or business in meeting its own compliance requirements. These dual roles increase the complexity of our compliance efforts and the potential for liability in the event of a breach or regulatory violation.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privacy and cybersecurity laws include rules and regulations promulgated under the authority of the Federal Trade Commission, the Electronic Communications Privacy Act, the Computer Fraud and Abuse Act, the California Consumer Privacy Act of 2018 (“CCPA”) and other state and federal laws relating to privacy and cybersecurity. The CCPA requires covered companies to make certain disclosures to California consumers about their data collection, use and sharing practices, allows consumers to opt out of the sale of personal information to third parties, and provides a private right of action and statutory damages for data breaches. The California Privacy Rights Act of 2020 (“CPRA”), which took effect on January 1, 2023, amended the CCPA by imposing additional requirements, including granting California residents the ability to limit the use of their Sensitive Information, imposing penalties for violations concerning California residents under the age of 16, and establishing the California Privacy Protection Agency to implement and enforce the law. While the CPRA regulations introduced more stringent requirements, many of these regulations lack significant enforcement history, creating uncertainty and compliance challenges.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enactment of the CCPA has spurred a wave of similar legislative developments in other states, resulting in a complex patchwork of overlapping but sometimes differing privacy laws. For example, Virginia, Colorado, Utah and Connecticut have enacted general privacy laws that became effective in 2023; Florida, Montana, Oregon and Texas have enacted privacy laws that became effective in 2024; Delaware, Iowa, Maryland, Minnesota, Nebraska, New Hampshire, New Jersey and Tennessee have enacted privacy laws that became effective in 2025; Indiana, Kentucky and Rhode Island have enacted privacy laws that became effective in 2026; Alabama and Oklahoma have enacted privacy laws that become effective in 2027; and Vermont has enacted a privacy law and becomes effective in 2028. Each of these laws imposes unique compliance requirements and creates additional challenges for maintaining consistency across jurisdictions. At the federal level, there is ongoing discussion about the possibility of comprehensive privacy legislation. However, no uniform standard has been enacted, and state-level activity continues to shape the regulatory landscape. The evolving nature of privacy and cybersecurity laws increases our compliance costs and potential liability as we navigate variations in requirements across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 These rules also may broadly require us to extract promises from business partners that they will not transfer data we share with them onward to parties linked to countries of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a variety of industry standards, contractual and other obligations, such as self-regulatory guidelines, that govern our privacy and cybersecurity practices. These obligations require us to, for example, implement opt-out mechanisms, provide detailed disclosures and adhere to principles such as transparency and accountability. Failure to comply or to meet industry expectations with respect to these obligations could result in regulatory investigations, negative publicity, private litigation or other proceedings, which could adversely impact our reputation, increase costs and damage our business.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expand our operations and data-related solutions, the scrutiny on our data collection, use, sharing and processing practices may increase. Future laws and regulations could impose additional restrictions on data processing, including requirements for explicit consent, limitations on data retention or increased data subject rights. These changes may require us to redesign our platform, increase compliance costs or limit our ability to collect and use data, potentially reducing demand for our offerings. Additionally, as we continue to expand and develop new products and services, we may face challenges in uniformly applying compliance standards, particularly as requirements evolve or as certain legacy systems and processes are integrated into our broader platform. Any failure to fully implement or apply these standards across our offerings could result in increased compliance costs, reputational harm, loss of customer trust, regulatory scrutiny or legal liability, which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implemented measures designed to address privacy and cybersecurity laws, regulations and other obligations, we may, or may be perceived to have, not done so consistently across all our products and services. For instance, while we have completed a SOC 2 Type II audit, the scope of the system for this certification does not incorporate all of our products and services. This limitation may expose us to risks if customers or regulators expect all our offerings to meet the standards set forth in the certification or if gaps in compliance across different products create vulnerabilities.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Compliance with privacy and cybersecurity laws, regulations and other obligations is, and is likely to remain, uncertain for the foreseeable future. We cannot guarantee that we have been or will in the future be fully compliant with such laws, regulations and other obligations in every jurisdiction. Complying with these laws, regulations or other obligations may require us to modify our platform offerings, incur substantial compliance, technical and operational costs, modify our practices and restrict our business operations. Any failure or perceived failure to comply with these laws, regulations and other obligations relating to privacy or cybersecurity, including our own privacy policies, may result in regulatory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and trust, which could have a material and adverse effect on our business, financial condition, results of operations and reputation.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comply with anti-bribery and anti-corruption laws and anti-money laundering laws, export controls, trade and economic sanctions and similar laws, could subject us to penalties and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anti-bribery, anti-corruption, anti-money laundering, export controls, trade and economic sanctions, and similar laws could subject us to penalties and other adverse consequences. We are subject to the U.S. Foreign Corrupt Practices Act of 1977, as amended (the “FCPA”), the U.S. domestic bribery statute contained in 18 U.S.C. § 201, the U.S. Travel Act, the USA PATRIOT Act and other federal, state and local laws that address anti-bribery, anti-corruption and anti-money laundering. If we expand internationally, we may become subject to the anti-corruption, anti-bribery and anti-money laundering laws of other countries.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pursue international expansion, our risks under these laws may increase as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will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cases, our solutions may be subject to U.S. and foreign export controls, trade and economic sanctions and import laws and regulations. Governmental regulation related to the import or export of our solutions or our failure to obtain any required import or export authorization for our solutions, when applicable, could harm future international sales and adversely affect our revenue. For example, U.S. export control laws and trade and economic sanctions prohibit or restrict the shipment of certain products and services to countries, governments, and persons targeted by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sanctions without government authorization. In addition, various foreign governments may also impose controls, export license requirements, and/or restrictions that could be applicable to our solutions. If we fail to comply with export and import regulations and such trade and economic sanctions, penalties could be imposed, including fines and/or denial of certain export privileges. Compliance with applicable regulatory requirements regarding the export of our solutions may create delays in the introduction of our solutions in international markets or, in some cases, prevent the export of our solutions to some countries altogether. Moreover, any new export or import restrictions, new legislation or shifting approaches in the enforcement or scope of existing regulations, or in the countries, persons or products targeted by such regulations, could result in decreased use of our solutions by, or in our decreased ability to export our solutions to, existing or potential customers with international operations. Any decreased use of our platform offerings or limitation on our ability to export or sell our offerings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allegations or violation of the FCPA or other applicable anti-bribery or anti-corruption laws, anti-money laundering laws or export controls and trade and economic sanctions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could result in significant diversion of management’s attention and resources and significant defense costs and other professional fees. In addition, the U.S. government may seek to hold us liable for successor liability for FCPA, export control or trade and economic sanctions violations committed by companies in which we invest or that we acquire. As a general matter, investigations, enforcement actions and sanctions could harm our reputation,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identified material weaknesses in our internal control over financial reporting in connection with the preparation and audit of our financial statements for the fiscal years ended January 31, 2025 and 2024, and these material weaknesses continued to exist as of July 31,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becoming a public company, we will be required to furnish a report by management on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To date, we have had limited financial and accounting personnel to fully execute our accounting processes and address our internal control over financial reporting. In connection with the preparation and audit of our financial statements for the fiscal years ended January 31, 2025 and 2024, we identified material weaknesses in our internal control over financial reporting that could adversely affect our ability to accurately and timely report our financial results, and these material weaknesses continued to exist as of July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Specifically, we have identified deficiencies in our information technology general control (“ITGC”) environment, including deficiencies related to logical access and segregation of duties. These deficiencies exist within (1) certain enterprise resource planning systems (“ERPs”), (2) other third-party financial systems integrated to these ERPs and utilized for financial reporting purposes and (3) internally developed systems used for financial reporting purposes. Improper logical access management in these systems may increase the risk of unauthorized access to critical financial data, while inadequate segregation of duties could result in inappropriate or undetected changes to financial systems and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identified insufficient documentation supporting the performance and effectiveness of certain control activities related to the financial close and reporting process. This includes the lack of timely execution of reviews and inadequate evidence of review procedures, which diminishes our ability to demonstrate that controls operated effectively throughout the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in the process of implementing remediation plans to address these material weaknesses, including enhancements to our ITGC environment, improvements to segregation of duties and strengthening documentation and execution of our financial reporting controls. The material weaknesses will be considered remediated when our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designs and implements effective controls that operate for a sufficient period of time and management has concluded, through testing, that these controls are effective. Our management will monitor the effectiveness of our remediation plans and make changes management determines to be appropriate. We cannot assure you that the measures we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controls over financial reporting. Accordingly, there could continue to be a reasonable possibility that these deficiencies or others, individually and in the aggregate, could result in errors in our financial statements that may not be prevented or detected on a timely basis, potentially leading to a material misstatement, resulting in a restatement of financial statements, causing us to fail to timely meet our reporting obligations or causing investors to lose confidence in our reported financial information, which could cause a decline in the trading price of our Class A common stock and we could be subject to sanctions or investigations by the SEC or other regulatory authorities including equivalent foreign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we cease to be an “emerging growth company” as defined under the JOBS Act, our auditors will be required to express an opinion on the effectiveness of our internal controls, unless we are then eligible for any other exemption from such requirement.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trading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We engage in the solicitation of charitable contributions on behalf of nonprofit organizations from time to time, and as a result we are subject to regulatory, reputational and financial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jurisdictions, both at the federal and state level, impose strict regulations on entities that engage in the solicitation of charitable funds on behalf of nonprofit organizations, including strict state-specific registration requirements. Any failure to maintain compliance with these laws and regulations could result in fines, enforcement actions or reputational damage. Organizations like ours that solicit and receive charitable contributions may be exploited and expose us to heightened money laundering risks and subject us to liability under applicable anti-money laundering laws. While we maintain stringent and comprehensive efforts to screen and monitor charitable contributions, there can be no assurance that these controls will be effective. Our success depends on the trust we maintain with our customers, and any failure to comply with the foregoing regulations could severely harm our brand and reputation and materially adversely affect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trading price of our Class A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the fair value of assets acquired and liabilities assumed in acquisitions and investments.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trading price of our Class A common stock.</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losses and certain other tax attributes to offset future taxable income may be subject to certain limitations.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we had approximately $22.3 million and $10.6 million of federal and state net operating loss carryforwards (“NOLs”), respectively. All of these NOLs carryforward indefinitely. The amount of federal NOLs arising in taxable years beginning after December 31, 2017, that we are permitted to deduct in a taxable year is limited to 80% of our federal taxable income in each such year to which the NOLs are applied. Similar limitations may apply to our state NOLs. Utilization of our NOLs and certain other tax attributes depends on many factors, including us attaining profitability, which cannot be assured. Due to our cumulative losses, we have recorded a full valuation allowance against our NOLs as of January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ability to utilize our federal NOLs and certain other tax attributes, may be limited under Sections 382 and 383 of the Internal Revenue Code of 1986, as amended (the “Code”). These limitations apply if we experience an “ownership change,” which generally occurs if one or more stockholders who own at least 5% of our stock increase their ownership (by value) by more than 50 percentage points over their lowest ownership percentage within a rolling three-year period. Similar rules may apply under state and local tax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have undergone ownership changes, or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NOLs. Future changes in our stock ownership, some of which may be outside of our control, may result in an ownership change under these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of operations may be harmed if we are required to collect or pay sales or other taxes in jurisdictions where we have not historically done so.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application of federal, state, local and foreign tax laws to services provided electronically is evolving. In particular, the applicability of sales and use taxes and other taxes, such as gross receipts, excise, digital service and telecom taxes, to our platform in various jurisdictions is unclear, and these rules and regulations are subject to varying interpretations that may change over time. We collect and remit sales tax and other taxes in the United States. It is possible, however, that we could face sales tax or other tax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or other taxes in jurisdictions where we have not historically done so and do not accrue for such taxes could result in substantial tax liabilities for past sales, discourage organizations from using our platform or otherwise harm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one or more state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or other authorities to compel us to collect and remit sales tax, use tax, telecommunication tax or other taxes, either retroactively, prospectively or both, may harm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tax laws and regulations could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in multiple jurisdictions and are subject to tax laws and regulations of the U.S. federal, state and local and foreign governments. New income, sales, use, digital service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ordinances could be interpreted, changed, modified or applied adversely to us. The introduction of new, or changes to existing, tax laws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For example, California has recently amended its tax laws to subject certain retail sales of digital prewritten software, cloud-based applications and software services to sales tax in California, effective January 1, 2027, which may increase the cost to our California-based customers of purchasing our products, and similarly may increase the costs to us of purchasing software products we use in our business. Further, these events could decrease the capital we have available to operate our business. Any or all of these events may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the requirement to have our registered independent public accounting firm attest to management’s assessment of our internal control over financial reporting;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compliance with the requirement of the PCAOB regarding the communication of critical audit matters in the auditor’s report on the financial statements;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reduced disclosure about our executive compensation arrangements;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the requirement to hold non-binding advisory votes on executive compensation or golden parachute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continue to be an emerging growth company for up to five years until as late as January 31, 2031. Our status as an emerging growth company will end as soon as any of the following takes place: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last day of the fiscal year in which we have at least $1.235 billion in annual revenue;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date we qualify as a “large accelerated filer,” with at least $700.0 million of equity securities held by non-affiliates;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date on which we have issued, in any three-year period, more than $1.0 billion in non-convertible debt securities;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January 31, 2031, which is the last day of the fiscal year ending after the fifth anniversary of the completion of the IPO.</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pStyle w:val="TextBody"/>
        <w:bidi w:val="0"/>
        <w:spacing w:before="240" w:after="283"/>
        <w:jc w:val="both"/>
        <w:rPr>
          <w:rFonts w:ascii="Times New Roman" w:hAnsi="Times New Roman"/>
          <w:sz w:val="20"/>
        </w:rPr>
      </w:pPr>
      <w:r>
        <w:rPr>
          <w:rFonts w:ascii="Times New Roman" w:hAnsi="Times New Roman"/>
          <w:color w:val="000000"/>
          <w:sz w:val="20"/>
        </w:rPr>
        <w:t>We are also a “smaller reporting company” because our annual revenue was less than $100 million</w:t>
      </w:r>
      <w:r>
        <w:rPr>
          <w:rFonts w:ascii="Times New Roman" w:hAnsi="Times New Roman"/>
          <w:color w:val="0000FF"/>
          <w:sz w:val="20"/>
        </w:rPr>
        <w:t xml:space="preserve"> </w:t>
      </w:r>
      <w:r>
        <w:rPr>
          <w:rFonts w:ascii="Times New Roman" w:hAnsi="Times New Roman"/>
          <w:color w:val="000000"/>
          <w:sz w:val="20"/>
        </w:rPr>
        <w:t>during the year ended January 31, 2026. We may continue to be a smaller reporting company in any given fiscal year if either (1) the market value of our common stock held by non-affiliates is less than $250 million as of the last business day of the second fiscal quarter of such fiscal year or (2) our annual revenue is less than $100 million during the most recently completed fiscal year and the market value of our common stock held by non-affiliates is less than $700 million as of the last business day of the second fiscal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if investors will find our Class A common stock less attractive if we choose to rely on any of the exemptions afforded emerging growth companies and smaller reporting companies. If some investors find our Class A common stock less attractive because we rely on any of these exemptions, there may be a less active trading market for our Class A common stock and the trading price of our Class A common stock may be more volatile and may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continue to incur increased costs and demands upon management as a public company, which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newly public company, we are incurring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the Nasdaq Stock Market. Our management and other personnel will need to continue to devote a substantial amount of time to compliance with these requirements and we expect these rules and regulations to continue to substantially increase our legal and financial compliance costs. For example, we expect complying with these rules and regulations to make it more expensive for us to maintain director and officer liability insurance, and, in the future,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although we have already hired additional employees to assist us in complying with these requirements, we may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report and in our other Exchange Act filings, our business and financial condition are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costs and demands upon management could adversely affect our business, financial condition and results of operations.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face challenges in closing our books and preparing timely and accurate financial reports, which could adversely impact our business, investor confidence and our ability to meet SEC reporting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experienced significant growth in recent years through both organic expansion and a series of strategic acquisitions. As we continue to scale our operations, integrate multiple acquired businesses and expand our geographic and product footprint, we face increasing complexity in our financial reporting environment. Our recent acquisitions require integration of financial systems, controls, accounting policies and personnel. These rapid developments place significant demands on our finance, accounting and internal controls functions. Given the pace of our growth and acquisitions, there is a risk that we may not be able to timely or accurately close our books, integrate acquired entities or produce consolidated financial statements in accordance with U.S. GAAP or SEC requirements. This may result in delayed filings with the SEC, the restatement of previously issued financial statements or deficiencies in our internal control over financial reporting. Any of these outcomes could harm our reputation, trigger penalties or enforcement actions from the SEC, delay or impair our ability to access capital markets and reduce investor confidence in our company and financial reporting.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publicly traded Class A common stock entitles each holder to one vote per share. Our co-founder, president and chief executive officer, Mr. Beck, and his affiliates hold shares of Class B common stock that are entitled to ten votes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10, 2026, the shares beneficially owned by Mr. Beck represented a majority of the aggregate voting power of our outstanding common stock. As a result, for the foreseeable future, Mr. Beck will be able to significantly influence or control all matters requiring approval by our stockholders, including the election of directors, amendments of our organizational documents and any merger, consolidation, sale of all or substantially all of our assets or other major transaction requiring stockholder approval. Mr. Beck may have interests that differ from yours and may vote in a way with which you disagree and which may be adverse to your interest. The concentration of influence will limit or preclude your ability to influence corporate matters for the foreseeable future and could have the effect of delaying, preventing or deterring a change in control of our company, could deprive you and other holders of Class A common stock of an opportunity to receive a premium for your Class A common stock as part of a sale of our company and could negatively affect the trading price of our Class A common stock. In addition, this may prevent or discourage unsolicited acquisition proposals or offers for our capital stock that you may feel are in your best interest as one of our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future transfers by holders of our Class B common stock will generally result in those shares converting into our Class A common stock, subject to limited exceptions. The conversion of our Class B common stock to our Class A common stock will have the effect, over time, of increasing the relative voting power of those holders of our Class B common stock who retain their shares in the long term. As a result, it is possible that one or more holders of our Class B common stock, including Mr. Beck, could gain additional control as other holders of our Class B common stock sell or otherwise convert their shares into our Class A common stock. In addition, the conversion of our Class B common stock into our Class A common stock will dilute holders of our Class A common stock, including holders of shares purchased in our IPO, in terms of their voting power within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Beck holds a majority of the aggregate voting power of our outstanding common stock and we may be considered to be a “controlled company” as that term is set forth in the rules and regulations of the Nasdaq Stock Market. Under these rules, a company of which more than 50% of the voting power is held by a person or group of persons acting together is a “controlled company” and may elect not to comply with certain rules and regulations of the Nasdaq Stock Market regarding corporate governance, including:</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 that a majority of its board of directors consist of independent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board resolutions or a written charter, as applicable, addressing the nominations process and related matters as required under the federal securities laws;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 that its compensation committee be composed entirely of independent directors with a written charter addressing the committee’s purpose and responsibilities.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requirements would not apply to us if, in the future, we choose to avail ourselves of the “controlled company” exemption. Although we qualify as a “controlled company,” we do not currently expect to rely on these exemptions and intend to fully comply with all corporate governance requirements under the rules and regulations of the Nasdaq Stock Market. However, if we were to rely on some or all of these exemptions in the future, you would not have the same protections afforded to stockholders of other companies that are subject to all of the corporate governance requirements of the Nasdaq Stock Market.</w:t>
      </w:r>
    </w:p>
    <w:p>
      <w:pPr>
        <w:pStyle w:val="TextBody"/>
        <w:bidi w:val="0"/>
        <w:spacing w:before="240" w:after="283"/>
        <w:jc w:val="both"/>
        <w:rPr>
          <w:rFonts w:ascii="Times New Roman" w:hAnsi="Times New Roman"/>
          <w:sz w:val="20"/>
        </w:rPr>
      </w:pPr>
      <w:r>
        <w:rPr>
          <w:rFonts w:ascii="Times New Roman" w:hAnsi="Times New Roman"/>
          <w:b/>
          <w:i/>
          <w:color w:val="000000"/>
          <w:sz w:val="20"/>
        </w:rPr>
        <w:t>Our quarterly results might fluctuate and if we fail to meet the expectations of analysts or investors, the trading price of our Class A common stock could decline substantially.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quarterly financial results might fluctuate as a result of a variety of factors, many of which are outside of our control. If our quarterly financial results fall below the expectations of investors or any securities analysts who might follow our stock, the price of our Class A common stock could decline substantially. Some of the important factors that might cause our revenue, operating results and cash flows to fluctuate from quarter to quarter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attract new customers and retain and increase sales to existing customers;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size of new customer subscriptions and other agreements, renewals or cancellations;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customer budgets or priorities, particularly within mission-driven organizations that may be subject to significant shifts in funding or leadership based on various factors outside of our control;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variability in demand from CFLs, which can influence our revenue directly or indirectly from NCPs;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size of our acquisitions and investments;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new employees added;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and timing of our equity-based compensation expenses;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productivity of our sales force;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and timing of operating expenses and capital expenditures that we may incur to grow and expand our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and introduction of new offerings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 cybersecurity breaches and incidents, technical difficulties or interruptions in the availability of our platform;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timing of customer payments and payment defaults by customers;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economic conditions that might harm either our customers’ ability or willingness to expand their usage of our platform, delay a prospective customer’s purchasing decision or affect customer retention;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impact of applicable tax laws, rules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impact of new accounting pronouncements;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navigate reputational risks related to the faith-based nature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these factors are outside of our control, and the occurrence of one or more of them might cause our revenue, operating results and cash flows to vary widely. As such, we believe that quarter-to-quarter comparisons of our revenue, operating results and cash flows might not be an indication of future performance. If our operating or financial results fall below the expectations of investors or analysts, the trading price of our Class A common stock could decline, potentially significantly.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trading price of our Class A common stock might be volatile or might decline regardless of our operating performance, resulting in substantial losses for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Class A common stock is likely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shares of our Class A common stock by us 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public’s reaction to our press releases, other public announcements and filings with the SEC;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fluctuations in the trading volume of our shares or the size of our public float;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or anticipated changes or fluctuations in our results of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or anticipated developments in our business, our competitors’ businesses or the competitive landscape generally;</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of securities analysts to maintain coverage of us, changes in actual or future expectations of investors or securities analysts or our failure to meet these estimates or the expectations of investors;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involving us, our industry or both;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governmental or regulatory actions or audits;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conditions and trends;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expiration of lock-up agreements or other restrictions on the sale or disposition of our securities;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an adverse impact on the trading price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the past, following periods of volatility in the overall market and the trading price of a particular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Substantial future sales of shares of our Class A common stock, or the perception that such sales may occur, could cause the trading price of our Class A common stock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Class A common stock could decline as a result of substantial sales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dual-class structure of our common stock may adversely affect the trading market for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stock index providers have excluded companies with multiple classes of shares of common stock from being added to certain stock indices. Accordingly, the dual-class structure of our common stock makes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cover us, or if one or more of these analysts cease coverage of us or fail to publish reports on us regularly, we could lose visibility in the financial markets and demand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our securities could decrease, which in turn could cause the price and trading volume of our Class A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If we acquire or make investments in complementary companies, products or technologies, we may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intend to pay dividends on our Class A common stock for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intend to retain all available funds and any future earnings to fund the development and growth of our businesses. As a result, we do not anticipate declaring or paying any cash dividends on our Class A common stock in the foreseeable future. As a result, stockholders must rely on appreciation in the price of our Class A common stock for a return on their investment.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our ability to pay dividends may be restricted by the terms of any future incurrence of debt.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Delaware law and provisions in our certificate of incorporation and bylaws might delay, discourage or prevent a change in control of our company or changes in our management, thereby depressing the trading price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certificate of incorporation and bylaws contain provisions that may make the acquisition of our company more difficult or delay or prevent changes in control of our management. Among other things, these provisions: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for a dual class common stock structure, with differing voting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permit our board of directors to issue shares of preferred stock, with any powers, rights, preferences and privileges as they may designate;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 of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 our board of directors into three classes, each of which stands for election once every three years;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provide for cumulative voting rights (therefore allowing the holders of a plurality of the shares of common stock entitled to vote in any election of directors to elect all of the directors standing for election, if they should so choose);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the sole and exclusive forum for (1) any derivative action brought on our behalf, (2) any action asserting a claim of breach of a fiduciary duty owed by any of our current or former directors, stockholders, officers or other employees to us or our stockholders, (3) any action arising pursuant to any provision of the DGCL or our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does not apply to any action brought to enforce a duty or liability created by the Exchange Act and the rules and regulations thereunder.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22 of the Securities Act of 1933, as amended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dispute, as well as resolving such action in other jurisdictions, all of which could harm our results of operations.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EMD Acquisition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 2026, we issued 1,536,198 shares of our Class A common stock to purchase substantially all of the assets and assume certain liabilities of EMD.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issuance was exempt from registration in reliance on Section 4(a)(2) of the Securities Act and Rule 506 promulgated thereunder.</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July 31, 2026, no director or officer, as defined in Rule 16a-1(f) of the Exchange Act, adopted or terminated a “Rule 10b5-1 trading arrangement” or any “non-Rule 10b5-1 trading arrangement,” as each term is defined in Item 408(a) of Regulation S-K.</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7, 2026, the Company entered into a Second Amendment to certain of its Amended and Restated Secured Promissory Notes (as previously amended, the “Notes”), including the Note dated July 22, 2024 with FMAB Partners, LP, an entity affiliated with Jack Furst, a director of the Company, which extends the maturity date of the Notes to April 23, 2028. All other terms and conditions remain the same. The Form of Second Amendment to the Amended and Restated Secured Promissory Note is filed herewith as Exhibit 10.1 and is incorporated herein by reference.</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exhibits listed below are filed or furnished as part of this report, or are incorporated herein by reference, in each case as indicated below: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146"/>
        <w:gridCol w:w="4855"/>
        <w:gridCol w:w="586"/>
        <w:gridCol w:w="882"/>
        <w:gridCol w:w="720"/>
        <w:gridCol w:w="996"/>
        <w:gridCol w:w="1199"/>
      </w:tblGrid>
      <w:tr>
        <w:trPr/>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82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2188"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c>
          <w:tcPr>
            <w:tcW w:w="11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Furnished Herewith</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Gloo Holdings,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Gloo Holdings,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Amended and Restated Unit Warrant</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o-ex4_2.htm">
              <w:r>
                <w:rPr>
                  <w:rStyle w:val="InternetLink"/>
                  <w:rFonts w:ascii="Times New Roman" w:hAnsi="Times New Roman"/>
                  <w:color w:val="0000FF"/>
                  <w:sz w:val="20"/>
                  <w:u w:val="single"/>
                </w:rPr>
                <w:t>Description of the Registrant’s Securities Registered Pursuant to Section 12 of the Securities Exchange Act of 1934</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o-ex10_1.htm">
              <w:r>
                <w:rPr>
                  <w:rStyle w:val="InternetLink"/>
                  <w:rFonts w:ascii="Times New Roman" w:hAnsi="Times New Roman"/>
                  <w:color w:val="0000FF"/>
                  <w:sz w:val="20"/>
                  <w:u w:val="single"/>
                </w:rPr>
                <w:t>Form of Second Amendment to the Amended and Restated Secured Promissory Note</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o-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o-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certification attached as Exhibit 32.1 that accompanies this report is not deemed filed with the Securities and Exchange Commission and is not to be incorporated by reference into any filing of Gloo Holdings, Inc. under the Securities Act of 1933, as amended, or the Securities Exchange Act of 1934, as amended, whether made before or after the date of this report, irrespective of any general incorporation language contained in such filing.</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94" w:type="dxa"/>
        <w:jc w:val="left"/>
        <w:tblInd w:w="0" w:type="dxa"/>
        <w:tblLayout w:type="fixed"/>
        <w:tblCellMar>
          <w:top w:w="28" w:type="dxa"/>
          <w:left w:w="28" w:type="dxa"/>
          <w:bottom w:w="28" w:type="dxa"/>
          <w:right w:w="28" w:type="dxa"/>
        </w:tblCellMar>
      </w:tblPr>
      <w:tblGrid>
        <w:gridCol w:w="2221"/>
        <w:gridCol w:w="146"/>
        <w:gridCol w:w="406"/>
        <w:gridCol w:w="252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GLOO HOLDINGS, INC.</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Beck</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Beck</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Seamon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Seamon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2" w:name="gloo-ex4_2.htm"/>
      <w:bookmarkStart w:id="23" w:name="ksglooex4_2"/>
      <w:bookmarkEnd w:id="22"/>
      <w:bookmarkEnd w:id="23"/>
      <w:r>
        <w:rPr>
          <w:rFonts w:ascii="Times New Roman" w:hAnsi="Times New Roman"/>
          <w:b/>
          <w:color w:val="000000"/>
          <w:sz w:val="20"/>
        </w:rPr>
        <w:t>Exhibit 4.2</w:t>
      </w:r>
      <w:r>
        <w:br w:type="page"/>
      </w:r>
    </w:p>
    <w:p>
      <w:pPr>
        <w:pStyle w:val="TextBody"/>
        <w:bidi w:val="0"/>
        <w:jc w:val="center"/>
        <w:rPr>
          <w:rFonts w:ascii="Times New Roman" w:hAnsi="Times New Roman"/>
          <w:b/>
          <w:color w:val="000000"/>
          <w:sz w:val="20"/>
        </w:rPr>
      </w:pPr>
      <w:bookmarkStart w:id="24" w:name="description_of_capital_stock"/>
      <w:bookmarkEnd w:id="24"/>
      <w:r>
        <w:rPr>
          <w:rFonts w:ascii="Times New Roman" w:hAnsi="Times New Roman"/>
          <w:b/>
          <w:color w:val="000000"/>
          <w:sz w:val="20"/>
        </w:rPr>
        <w:t>DESCRIPTION OF THE REGISTRANT’S SECURITIES REGISTERED PURSUANT TO SECTION 12 OF THE SECURITIES 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Gloo Holdings, Inc. has one class of securities registered under Section 12 of the Securities Exchange Act of 1934, as amended, (the “Exchange Act”): our Class A common stock, $0.001 par value per share. As used in this description, “we,” “us,” “our” and similar references refer to Gloo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general terms and provisions of our common stock are summarized below. This summary does not purport to be complete and is subject to, and qualified in its entirety by reference to, the provisions of our amended and restated certificate of incorporation (our “certificate of incorporation”), our amended and restated bylaws (our “bylaws”), each of which are included as an exhibit to our Quarterly Report on Form 10-Q for the quarter ended April 30, 2026, and each of which may be amended from time to time. We encourage you to read our certificate of incorporation and bylaws and the applicable provisions of Delaware law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authorized capital stock consists of 5,200,000,000 shares, $0.001 par value per share, of which: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5,000,000,000 shares are designated as Class A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100,000,000 shares are designated as Class B common stock;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100,000,000 shares are designated as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authorized shares of common stock are designated as Class A common stock and Class B common stock. The rights of the holders of our Class A common stock and Class B common stock are identical, except with respect to voting and conversion.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 Preemptive or Similar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not entitled to preemptive rights, and is not subject to redemption or sinking fund provisions. Our Class A common stock is not subject to conversion provisions.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Delaware law or our certificate of incorporation. Delaware law could require either holders of our Class A common stock or Class B common stock to vote separately as a single class if we were to seek to amend our certificate of incorporation in a manner that alters or changes the powers, preferences or special rights of such class of common stock in a manner that affected such shares adversely but does not so affect the shares of the other class of common stock.</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Nasdaq Stock Market.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and bylaws provide for a classified board of directors consisting of three classes of approximately equal size, each serving staggered three</w:t>
        <w:noBreakHyphen/>
        <w:t>year terms. Only the directors in one class will be elected at each annual meeting of our stockholders, with the directors in the other classes continuing for the remainder of their respective three</w:t>
        <w:noBreakHyphen/>
        <w:t>year terms.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Fully Paid and Nonassessable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outstanding shares of Class A common stock are fully paid and non-assessable.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outstanding shares of Class B common stock are convertible at any time as follows: (1) at the option of the holder, a share of Class B common stock may be converted at any time into one share of Class A common stock; and (2) upon the election of the holders of two-thirds of the then outstanding shares of Class B common stock, all outstanding shares of Class B common stock may be converted into shares of Class A common stock. In addition, each share of Class B common stock will convert automatically into one share of Class A common stock upon any transfer, whether or not for value, except for certain transfers described in our certificate of incorporation, including transfers to (1) family members, trusts and estate planning vehicles for the benefit of the stockholder or their family members, (2) partnerships, corporations and other entities controlled by the stockholder, their family members or such stockholder’s permitted transferees, (3) if the stockholder is an entity, to any natural person with voting control over the shares held by such entity as of the later of 11:59 p.m. eastern time on the Effective Date (as defined in our certificate of incorporation) or at such time as we first issue the shares to such entity or, if such natural person is also a holder of Class B common stock as of such time, to such natural person’s permitted transferees, and (4) charitable organizations that are exempt from taxation under section 501(c)(3) of the Internal Revenue Code of 1986, as amended (or any successor provision thereto), provided that such transfer does not involve any payment of cash, securities, property or other consideration. Once converted or transferred and converted into Class A common stock, the Class B common stock will not be reissued.</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Anti-Takeover Effects of Certain Provisions of Delaware Law, Our Certificate of Incorporation and Our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provisions of Delaware law,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governed by the provisions of Section 203 of the General Corporation Law of the State of Delaware, or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business combination or transaction which resulted in the stockholder becoming an interested stockholder was approved by the board of directors prior to the time that the stockholder became an interested stockholder;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203 defines a business combination to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or consolidations involving the corporation, or any direct or indirect majority-owned subsidiary of the corporation, and the interested stockholder or any other entity if the merger or consolidation is caused by the interested stockholder;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sale, transfer, pledge or other disposition involving the interested stockholder of 10% or more of the assets of the corporation or any direct or indirect majority-owned subsidiary of the corporation;</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or any direct or indirect majority-owned subsidiary of the corporation, of any stock of the corporation or such subsidiary to the interested stockholder;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may have the effect of delaying, deferring or preventing changes in control of our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Certificate of Incorporation and Bylaws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and bylaws include a number of provisions that could deter hostile takeovers or delay or prevent changes in control of our board of directors or management. Among other things, our certificate of incorporation and bylaws: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for a dual class common stock structure, with differing voting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permit our board of directors to issue shares of preferred stock, with any powers, rights, preferences and privileges as they may designate;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 of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 our board of directors into three classes, each of which stands for election once every three years;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provide for cumulative voting rights (therefore allowing the holders of a plurality of the shares of common stock entitled to vote in any election of directors to elect all of the directors standing for election, if they should so choose);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Exclusive Forum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would not apply to any action brought to enforce a duty or liability created by the Exchange Act and the rules and regulations thereunder. Our bylaws also provide that, unless we consent in writing to the selection of an alternative forum, the federal district courts of the United States will be the sole and exclusive forum for resolving any complaint asserting a cause of action arising under the Securities Act of 1933, as amended. Any person or entity purchasing, holding or otherwise acquiring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transfer agent and registrar for our common stock is Fidelity Stock Transfer Solutions LLC. The transfer agent and registrar’s address is 245 Summer Street, Boston, MA 02210.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A common stock is listed on the Nasdaq Global Select Market under the symbol “GLOO.”</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gloo-ex10_1.htm"/>
      <w:bookmarkStart w:id="26" w:name="ksglooex10_1"/>
      <w:bookmarkEnd w:id="25"/>
      <w:bookmarkEnd w:id="26"/>
      <w:r>
        <w:rPr>
          <w:rFonts w:ascii="Times New Roman" w:hAnsi="Times New Roman"/>
          <w:b/>
          <w:color w:val="000000"/>
          <w:sz w:val="20"/>
        </w:rPr>
        <w:t>Exhibit 10.1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SECOND AMENDMENT</w:t>
        <w:br/>
        <w:t>TO</w:t>
        <w:br/>
        <w:t>AMENDED AND RESTATED SECURED PROMISSORY NOTE</w:t>
      </w:r>
    </w:p>
    <w:p>
      <w:pPr>
        <w:pStyle w:val="TextBody"/>
        <w:bidi w:val="0"/>
        <w:spacing w:before="0" w:after="240"/>
        <w:jc w:val="both"/>
        <w:rPr>
          <w:rFonts w:ascii="Times New Roman" w:hAnsi="Times New Roman"/>
          <w:sz w:val="20"/>
        </w:rPr>
      </w:pPr>
      <w:r>
        <w:rPr>
          <w:rFonts w:ascii="Times New Roman" w:hAnsi="Times New Roman"/>
          <w:color w:val="000000"/>
          <w:sz w:val="20"/>
        </w:rPr>
        <w:t>This SECOND AMENDMENT TO AMENDED AND RESTATED SECURED PROMISSORY NOTE (this “</w:t>
      </w:r>
      <w:r>
        <w:rPr>
          <w:rFonts w:ascii="Times New Roman" w:hAnsi="Times New Roman"/>
          <w:b/>
          <w:i/>
          <w:color w:val="000000"/>
          <w:sz w:val="20"/>
        </w:rPr>
        <w:t>Amendment</w:t>
      </w:r>
      <w:r>
        <w:rPr>
          <w:rFonts w:ascii="Times New Roman" w:hAnsi="Times New Roman"/>
          <w:color w:val="000000"/>
          <w:sz w:val="20"/>
        </w:rPr>
        <w:t>”), dated as of September 7, 2026, amends that certain Amended and Restated Secured Promissory Note, dated as of July 22, 2024, as amended, restated, supplemented and otherwise modified from time to time up to the date hereof (the “</w:t>
      </w:r>
      <w:r>
        <w:rPr>
          <w:rFonts w:ascii="Times New Roman" w:hAnsi="Times New Roman"/>
          <w:b/>
          <w:i/>
          <w:color w:val="000000"/>
          <w:sz w:val="20"/>
        </w:rPr>
        <w:t>Note</w:t>
      </w:r>
      <w:r>
        <w:rPr>
          <w:rFonts w:ascii="Times New Roman" w:hAnsi="Times New Roman"/>
          <w:color w:val="000000"/>
          <w:sz w:val="20"/>
        </w:rPr>
        <w:t>”), by and among GLOO HOLDINGS, LLC, a Delaware limited liability company (the “</w:t>
      </w:r>
      <w:r>
        <w:rPr>
          <w:rFonts w:ascii="Times New Roman" w:hAnsi="Times New Roman"/>
          <w:b/>
          <w:i/>
          <w:color w:val="000000"/>
          <w:sz w:val="20"/>
        </w:rPr>
        <w:t>Company</w:t>
      </w:r>
      <w:r>
        <w:rPr>
          <w:rFonts w:ascii="Times New Roman" w:hAnsi="Times New Roman"/>
          <w:color w:val="000000"/>
          <w:sz w:val="20"/>
        </w:rPr>
        <w:t>”), and FMAB PARTNERS, LP (the “</w:t>
      </w:r>
      <w:r>
        <w:rPr>
          <w:rFonts w:ascii="Times New Roman" w:hAnsi="Times New Roman"/>
          <w:b/>
          <w:i/>
          <w:color w:val="000000"/>
          <w:sz w:val="20"/>
        </w:rPr>
        <w:t>Holder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Company and the Holder desire to amend certain provisions of the Note;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terms capitalized but not otherwise defined herein shall have the meanings ascribed to such terms in the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mutual covenants and agreements herein made and other good and valuable consideration, the undersigned agree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Section 1(a) of the Note is hereby amended and restated in its entirety to read as follows:</w:t>
      </w:r>
    </w:p>
    <w:p>
      <w:pPr>
        <w:pStyle w:val="TextBody"/>
        <w:bidi w:val="0"/>
        <w:spacing w:before="0" w:after="240"/>
        <w:jc w:val="both"/>
        <w:rPr>
          <w:rFonts w:ascii="Times New Roman" w:hAnsi="Times New Roman"/>
          <w:sz w:val="20"/>
        </w:rPr>
      </w:pPr>
      <w:r>
        <w:rPr>
          <w:rFonts w:ascii="Times New Roman" w:hAnsi="Times New Roman"/>
          <w:b/>
          <w:color w:val="000000"/>
          <w:sz w:val="20"/>
          <w:u w:val="single"/>
        </w:rPr>
        <w:t>(</w:t>
      </w:r>
      <w:r>
        <w:rPr>
          <w:rFonts w:ascii="Times New Roman" w:hAnsi="Times New Roman"/>
          <w:b/>
          <w:color w:val="000000"/>
          <w:sz w:val="20"/>
        </w:rPr>
        <w:t>a) Maturity Date.</w:t>
      </w:r>
      <w:r>
        <w:rPr>
          <w:rFonts w:ascii="Times New Roman" w:hAnsi="Times New Roman"/>
          <w:color w:val="000000"/>
          <w:sz w:val="20"/>
        </w:rPr>
        <w:t xml:space="preserve"> At any time on or after April 23, 2028 (the “</w:t>
      </w:r>
      <w:r>
        <w:rPr>
          <w:rFonts w:ascii="Times New Roman" w:hAnsi="Times New Roman"/>
          <w:b/>
          <w:color w:val="000000"/>
          <w:sz w:val="20"/>
        </w:rPr>
        <w:t>Maturity Date</w:t>
      </w:r>
      <w:r>
        <w:rPr>
          <w:rFonts w:ascii="Times New Roman" w:hAnsi="Times New Roman"/>
          <w:color w:val="000000"/>
          <w:sz w:val="20"/>
        </w:rPr>
        <w:t>”), if this Note has not been paid in full, the Holder may elect to either (i) demand, upon thirty (30) days’ written notice to the Company, payment of the entire outstanding principal balance of this Note together with all accrued and unpaid interest thereon or (ii) continue to hold the Note and interest shall continue to accrue on the unpaid principal balance hereof until such time when this Note is paid in full.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Except as expressly amended in accordance with this Amendment, the Note shall remain unmodified and in full force and effect. Any reference to the Note in any other document shall refer to the Note as amended hereby. In the event of any conflict between the terms of the Note and the terms of this Amendment, the terms of this Amendment shall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This Amendment may be executed, including by electronic transmission, in one or more counterparts, each of which when so executed shall be deemed to be an original and all of which together shall constitute one and the same instrument.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This Amendment shall be construed and enforced in accordance with the laws of the State of Colorado without regard to the application of the principles of conflicts or choice or laws.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undersigned have executed this Amendment on the day and year first indicated above.</w:t>
      </w:r>
    </w:p>
    <w:tbl>
      <w:tblPr>
        <w:tblW w:w="5412" w:type="dxa"/>
        <w:jc w:val="left"/>
        <w:tblInd w:w="0" w:type="dxa"/>
        <w:tblLayout w:type="fixed"/>
        <w:tblCellMar>
          <w:top w:w="28" w:type="dxa"/>
          <w:left w:w="28" w:type="dxa"/>
          <w:bottom w:w="28" w:type="dxa"/>
          <w:right w:w="28" w:type="dxa"/>
        </w:tblCellMar>
      </w:tblPr>
      <w:tblGrid>
        <w:gridCol w:w="161"/>
        <w:gridCol w:w="5251"/>
      </w:tblGrid>
      <w:tr>
        <w:trPr/>
        <w:tc>
          <w:tcPr>
            <w:tcW w:w="161"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THE COMPANY:</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spacing w:before="0" w:after="480"/>
              <w:jc w:val="both"/>
              <w:rPr>
                <w:rFonts w:ascii="Times New Roman" w:hAnsi="Times New Roman"/>
                <w:color w:val="000000"/>
                <w:sz w:val="20"/>
              </w:rPr>
            </w:pPr>
            <w:r>
              <w:rPr>
                <w:rFonts w:ascii="Times New Roman" w:hAnsi="Times New Roman"/>
                <w:color w:val="000000"/>
                <w:sz w:val="20"/>
              </w:rPr>
              <w:t>GLOO HOLDINGS, LLC, a Delaware limited liability company</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/s/ Scott Beck</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Name: Scott Beck </w:t>
            </w:r>
          </w:p>
          <w:p>
            <w:pPr>
              <w:pStyle w:val="TableContents"/>
              <w:bidi w:val="0"/>
              <w:spacing w:before="0" w:after="360"/>
              <w:jc w:val="both"/>
              <w:rPr>
                <w:rFonts w:ascii="Times New Roman" w:hAnsi="Times New Roman"/>
                <w:color w:val="000000"/>
                <w:sz w:val="20"/>
              </w:rPr>
            </w:pPr>
            <w:r>
              <w:rPr>
                <w:rFonts w:ascii="Times New Roman" w:hAnsi="Times New Roman"/>
                <w:color w:val="000000"/>
                <w:sz w:val="20"/>
              </w:rPr>
              <w:t>Title: President &amp;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THE HOLDER: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FMAB PARTNERS, LP</w:t>
            </w:r>
          </w:p>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JAJO LLC, its general partner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/s/ Jack D. Furst</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525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Name: Jack D. Furst</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President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Second Amendment to Amended and Restated Secured Promissory Note</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2"/>
        </w:rPr>
      </w:pPr>
      <w:bookmarkStart w:id="27" w:name="gloo-ex31_1.htm"/>
      <w:bookmarkStart w:id="28" w:name="ksglooex31_1"/>
      <w:bookmarkEnd w:id="27"/>
      <w:bookmarkEnd w:id="28"/>
      <w:r>
        <w:rPr>
          <w:rFonts w:ascii="Times New Roman" w:hAnsi="Times New Roman"/>
          <w:b/>
          <w:color w:val="000000"/>
          <w:sz w:val="22"/>
        </w:rPr>
        <w:t>Exhibit 31.1</w:t>
      </w:r>
      <w:r>
        <w:br w:type="page"/>
      </w:r>
    </w:p>
    <w:p>
      <w:pPr>
        <w:pStyle w:val="TextBody"/>
        <w:bidi w:val="0"/>
        <w:jc w:val="center"/>
        <w:rPr>
          <w:rFonts w:ascii="Times New Roman" w:hAnsi="Times New Roman"/>
          <w:b/>
          <w:caps/>
          <w:color w:val="000000"/>
          <w:sz w:val="22"/>
        </w:rPr>
      </w:pPr>
      <w:r>
        <w:rPr>
          <w:rFonts w:ascii="Times New Roman" w:hAnsi="Times New Roman"/>
          <w:b/>
          <w:caps/>
          <w:color w:val="000000"/>
          <w:sz w:val="22"/>
        </w:rPr>
        <w:t>Certification of Principal Executive Officer</w:t>
      </w:r>
    </w:p>
    <w:p>
      <w:pPr>
        <w:pStyle w:val="TextBody"/>
        <w:bidi w:val="0"/>
        <w:jc w:val="center"/>
        <w:rPr>
          <w:rFonts w:ascii="Times New Roman" w:hAnsi="Times New Roman"/>
          <w:sz w:val="22"/>
        </w:rPr>
      </w:pPr>
      <w:r>
        <w:rPr>
          <w:rFonts w:ascii="Times New Roman" w:hAnsi="Times New Roman"/>
          <w:b/>
          <w:caps/>
          <w:color w:val="000000"/>
          <w:sz w:val="22"/>
        </w:rPr>
        <w:t>Pursuant to EXCHANGE ACT RULES 13</w:t>
      </w:r>
      <w:r>
        <w:rPr>
          <w:rFonts w:ascii="Times New Roman" w:hAnsi="Times New Roman"/>
          <w:b/>
          <w:color w:val="000000"/>
          <w:sz w:val="22"/>
        </w:rPr>
        <w:t>a</w:t>
      </w:r>
      <w:r>
        <w:rPr>
          <w:rFonts w:ascii="Times New Roman" w:hAnsi="Times New Roman"/>
          <w:caps/>
          <w:color w:val="000000"/>
          <w:sz w:val="22"/>
        </w:rPr>
        <w:t xml:space="preserve"> </w:t>
      </w:r>
      <w:r>
        <w:rPr>
          <w:rFonts w:ascii="Times New Roman" w:hAnsi="Times New Roman"/>
          <w:b/>
          <w:caps/>
          <w:color w:val="000000"/>
          <w:sz w:val="22"/>
        </w:rPr>
        <w:t>-14(</w:t>
      </w:r>
      <w:r>
        <w:rPr>
          <w:rFonts w:ascii="Times New Roman" w:hAnsi="Times New Roman"/>
          <w:b/>
          <w:color w:val="000000"/>
          <w:sz w:val="22"/>
        </w:rPr>
        <w:t>a</w:t>
      </w:r>
      <w:r>
        <w:rPr>
          <w:rFonts w:ascii="Times New Roman" w:hAnsi="Times New Roman"/>
          <w:b/>
          <w:caps/>
          <w:color w:val="000000"/>
          <w:sz w:val="22"/>
        </w:rPr>
        <w:t>) and 15</w:t>
      </w:r>
      <w:r>
        <w:rPr>
          <w:rFonts w:ascii="Times New Roman" w:hAnsi="Times New Roman"/>
          <w:b/>
          <w:color w:val="000000"/>
          <w:sz w:val="22"/>
        </w:rPr>
        <w:t>d</w:t>
      </w:r>
      <w:r>
        <w:rPr>
          <w:rFonts w:ascii="Times New Roman" w:hAnsi="Times New Roman"/>
          <w:b/>
          <w:caps/>
          <w:color w:val="000000"/>
          <w:sz w:val="22"/>
        </w:rPr>
        <w:t>-14(</w:t>
      </w:r>
      <w:r>
        <w:rPr>
          <w:rFonts w:ascii="Times New Roman" w:hAnsi="Times New Roman"/>
          <w:b/>
          <w:color w:val="000000"/>
          <w:sz w:val="22"/>
        </w:rPr>
        <w:t>a</w:t>
      </w:r>
      <w:r>
        <w:rPr>
          <w:rFonts w:ascii="Times New Roman" w:hAnsi="Times New Roman"/>
          <w:b/>
          <w:caps/>
          <w:color w:val="000000"/>
          <w:sz w:val="22"/>
        </w:rPr>
        <w:t>),</w:t>
      </w:r>
    </w:p>
    <w:p>
      <w:pPr>
        <w:pStyle w:val="TextBody"/>
        <w:bidi w:val="0"/>
        <w:jc w:val="center"/>
        <w:rPr>
          <w:rFonts w:ascii="Times New Roman" w:hAnsi="Times New Roman"/>
          <w:b/>
          <w:caps/>
          <w:color w:val="000000"/>
          <w:sz w:val="22"/>
        </w:rPr>
      </w:pPr>
      <w:r>
        <w:rPr>
          <w:rFonts w:ascii="Times New Roman" w:hAnsi="Times New Roman"/>
          <w:b/>
          <w:caps/>
          <w:color w:val="000000"/>
          <w:sz w:val="22"/>
        </w:rPr>
        <w:t>As adopted pursuant to Section 302 of the Sarbanes-oxley act of 2002</w:t>
      </w:r>
    </w:p>
    <w:p>
      <w:pPr>
        <w:pStyle w:val="TextBody"/>
        <w:bidi w:val="0"/>
        <w:spacing w:before="240"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Scott Beck, certify that:</w:t>
      </w:r>
    </w:p>
    <w:p>
      <w:pPr>
        <w:pStyle w:val="TextBody"/>
        <w:bidi w:val="0"/>
        <w:jc w:val="left"/>
        <w:rPr/>
      </w:pPr>
      <w:r>
        <w:rPr/>
        <w:t> </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I have reviewed this Quarterly Report on Form 10-Q of Gloo Holdings, Inc.;</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Based on my knowledge, this report does not contain any untrue statement of a </w:t>
      </w:r>
      <w:r>
        <w:rPr>
          <w:rFonts w:ascii="Times New Roman" w:hAnsi="Times New Roman"/>
          <w:sz w:val="22"/>
        </w:rPr>
        <w:t>material</w:t>
      </w:r>
      <w:r>
        <w:rPr>
          <w:rFonts w:ascii="Times New Roman" w:hAnsi="Times New Roman"/>
          <w:color w:val="000000"/>
          <w:sz w:val="22"/>
        </w:rPr>
        <w:t xml:space="preserve"> fact or omit to state a </w:t>
      </w:r>
      <w:r>
        <w:rPr>
          <w:rFonts w:ascii="Times New Roman" w:hAnsi="Times New Roman"/>
          <w:sz w:val="22"/>
        </w:rPr>
        <w:t>material</w:t>
      </w:r>
      <w:r>
        <w:rPr>
          <w:rFonts w:ascii="Times New Roman" w:hAnsi="Times New Roman"/>
          <w:color w:val="000000"/>
          <w:sz w:val="22"/>
        </w:rPr>
        <w:t xml:space="preserve"> fact necessary to make the statements made, in light of the circumstances under which such statements were made, not misleading with respect to the period covered by this report;</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Based on my knowledge, the financial statements, and other financial information included in this report, fairly present in all </w:t>
      </w:r>
      <w:r>
        <w:rPr>
          <w:rFonts w:ascii="Times New Roman" w:hAnsi="Times New Roman"/>
          <w:sz w:val="22"/>
        </w:rPr>
        <w:t>material</w:t>
      </w:r>
      <w:r>
        <w:rPr>
          <w:rFonts w:ascii="Times New Roman" w:hAnsi="Times New Roman"/>
          <w:color w:val="000000"/>
          <w:sz w:val="22"/>
        </w:rPr>
        <w:t xml:space="preserve"> respects the financial condition, results of operations and cash flows of the </w:t>
      </w:r>
      <w:r>
        <w:rPr>
          <w:rFonts w:ascii="Times New Roman" w:hAnsi="Times New Roman"/>
          <w:sz w:val="22"/>
        </w:rPr>
        <w:t>registrant</w:t>
      </w:r>
      <w:r>
        <w:rPr>
          <w:rFonts w:ascii="Times New Roman" w:hAnsi="Times New Roman"/>
          <w:color w:val="000000"/>
          <w:sz w:val="22"/>
        </w:rPr>
        <w:t xml:space="preserve"> as of, and for, the periods presented in this report;</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The </w:t>
      </w:r>
      <w:r>
        <w:rPr>
          <w:rFonts w:ascii="Times New Roman" w:hAnsi="Times New Roman"/>
          <w:sz w:val="22"/>
        </w:rPr>
        <w:t>registrant</w:t>
      </w:r>
      <w:r>
        <w:rPr>
          <w:rFonts w:ascii="Times New Roman" w:hAnsi="Times New Roman"/>
          <w:color w:val="000000"/>
          <w:sz w:val="22"/>
        </w:rPr>
        <w:t xml:space="preserve">’s other </w:t>
      </w:r>
      <w:r>
        <w:rPr>
          <w:rFonts w:ascii="Times New Roman" w:hAnsi="Times New Roman"/>
          <w:sz w:val="22"/>
        </w:rPr>
        <w:t>certifying</w:t>
      </w:r>
      <w:r>
        <w:rPr>
          <w:rFonts w:ascii="Times New Roman" w:hAnsi="Times New Roman"/>
          <w:color w:val="000000"/>
          <w:sz w:val="22"/>
        </w:rPr>
        <w:t xml:space="preserve"> officer(s) and I are responsible for establishing and maintaining disclosure controls and procedures (as defined in </w:t>
      </w:r>
      <w:r>
        <w:rPr>
          <w:rFonts w:ascii="Times New Roman" w:hAnsi="Times New Roman"/>
          <w:sz w:val="22"/>
        </w:rPr>
        <w:t>Exchange Act</w:t>
      </w:r>
      <w:r>
        <w:rPr>
          <w:rFonts w:ascii="Times New Roman" w:hAnsi="Times New Roman"/>
          <w:color w:val="000000"/>
          <w:sz w:val="22"/>
        </w:rPr>
        <w:t xml:space="preserve"> Rules 13a-15(e) and 15d-15(e)) for the </w:t>
      </w:r>
      <w:r>
        <w:rPr>
          <w:rFonts w:ascii="Times New Roman" w:hAnsi="Times New Roman"/>
          <w:sz w:val="22"/>
        </w:rPr>
        <w:t>registrant</w:t>
      </w:r>
      <w:r>
        <w:rPr>
          <w:rFonts w:ascii="Times New Roman" w:hAnsi="Times New Roman"/>
          <w:color w:val="000000"/>
          <w:sz w:val="22"/>
        </w:rPr>
        <w:t xml:space="preserve"> and have:</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(a) Designed such disclosure controls and procedures, or caused such disclosure controls and procedures to be designed under our supervision, to ensure that </w:t>
      </w:r>
      <w:r>
        <w:rPr>
          <w:rFonts w:ascii="Times New Roman" w:hAnsi="Times New Roman"/>
          <w:sz w:val="22"/>
        </w:rPr>
        <w:t>material</w:t>
      </w:r>
      <w:r>
        <w:rPr>
          <w:rFonts w:ascii="Times New Roman" w:hAnsi="Times New Roman"/>
          <w:color w:val="000000"/>
          <w:sz w:val="22"/>
        </w:rPr>
        <w:t xml:space="preserve"> information relating to the </w:t>
      </w:r>
      <w:r>
        <w:rPr>
          <w:rFonts w:ascii="Times New Roman" w:hAnsi="Times New Roman"/>
          <w:sz w:val="22"/>
        </w:rPr>
        <w:t>registrant</w:t>
      </w:r>
      <w:r>
        <w:rPr>
          <w:rFonts w:ascii="Times New Roman" w:hAnsi="Times New Roman"/>
          <w:color w:val="000000"/>
          <w:sz w:val="22"/>
        </w:rPr>
        <w:t>, including its consolidated subsidiaries, is made known to us by others within those entities, particularly during the period in which this report is being prepared;</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(b) Evaluated the effectiveness of the </w:t>
      </w:r>
      <w:r>
        <w:rPr>
          <w:rFonts w:ascii="Times New Roman" w:hAnsi="Times New Roman"/>
          <w:sz w:val="22"/>
        </w:rPr>
        <w:t>registrant</w:t>
      </w:r>
      <w:r>
        <w:rPr>
          <w:rFonts w:ascii="Times New Roman" w:hAnsi="Times New Roman"/>
          <w:color w:val="000000"/>
          <w:sz w:val="22"/>
        </w:rPr>
        <w: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(c) Disclosed in this report any change in the </w:t>
      </w:r>
      <w:r>
        <w:rPr>
          <w:rFonts w:ascii="Times New Roman" w:hAnsi="Times New Roman"/>
          <w:sz w:val="22"/>
        </w:rPr>
        <w:t>registrant</w:t>
      </w:r>
      <w:r>
        <w:rPr>
          <w:rFonts w:ascii="Times New Roman" w:hAnsi="Times New Roman"/>
          <w:color w:val="000000"/>
          <w:sz w:val="22"/>
        </w:rPr>
        <w:t xml:space="preserve">'s </w:t>
      </w:r>
      <w:r>
        <w:rPr>
          <w:rFonts w:ascii="Times New Roman" w:hAnsi="Times New Roman"/>
          <w:sz w:val="22"/>
        </w:rPr>
        <w:t>internal control over financial reporting</w:t>
      </w:r>
      <w:r>
        <w:rPr>
          <w:rFonts w:ascii="Times New Roman" w:hAnsi="Times New Roman"/>
          <w:color w:val="000000"/>
          <w:sz w:val="22"/>
        </w:rPr>
        <w:t xml:space="preserve"> that occurred during the </w:t>
      </w:r>
      <w:r>
        <w:rPr>
          <w:rFonts w:ascii="Times New Roman" w:hAnsi="Times New Roman"/>
          <w:sz w:val="22"/>
        </w:rPr>
        <w:t>registrant</w:t>
      </w:r>
      <w:r>
        <w:rPr>
          <w:rFonts w:ascii="Times New Roman" w:hAnsi="Times New Roman"/>
          <w:color w:val="000000"/>
          <w:sz w:val="22"/>
        </w:rPr>
        <w:t xml:space="preserve">'s most recent fiscal quarter (the </w:t>
      </w:r>
      <w:r>
        <w:rPr>
          <w:rFonts w:ascii="Times New Roman" w:hAnsi="Times New Roman"/>
          <w:sz w:val="22"/>
        </w:rPr>
        <w:t>registrant</w:t>
      </w:r>
      <w:r>
        <w:rPr>
          <w:rFonts w:ascii="Times New Roman" w:hAnsi="Times New Roman"/>
          <w:color w:val="000000"/>
          <w:sz w:val="22"/>
        </w:rPr>
        <w:t xml:space="preserve">'s fourth fiscal quarter in the case of an annual report) that has materially affected, or is reasonably likely to materially affect, the </w:t>
      </w:r>
      <w:r>
        <w:rPr>
          <w:rFonts w:ascii="Times New Roman" w:hAnsi="Times New Roman"/>
          <w:sz w:val="22"/>
        </w:rPr>
        <w:t>registrant</w:t>
      </w:r>
      <w:r>
        <w:rPr>
          <w:rFonts w:ascii="Times New Roman" w:hAnsi="Times New Roman"/>
          <w:color w:val="000000"/>
          <w:sz w:val="22"/>
        </w:rPr>
        <w:t xml:space="preserve">'s </w:t>
      </w:r>
      <w:r>
        <w:rPr>
          <w:rFonts w:ascii="Times New Roman" w:hAnsi="Times New Roman"/>
          <w:sz w:val="22"/>
        </w:rPr>
        <w:t>internal control over financial reporting</w:t>
      </w:r>
      <w:r>
        <w:rPr>
          <w:rFonts w:ascii="Times New Roman" w:hAnsi="Times New Roman"/>
          <w:color w:val="000000"/>
          <w:sz w:val="22"/>
        </w:rPr>
        <w:t>; and</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The </w:t>
      </w:r>
      <w:r>
        <w:rPr>
          <w:rFonts w:ascii="Times New Roman" w:hAnsi="Times New Roman"/>
          <w:sz w:val="22"/>
        </w:rPr>
        <w:t>registrant</w:t>
      </w:r>
      <w:r>
        <w:rPr>
          <w:rFonts w:ascii="Times New Roman" w:hAnsi="Times New Roman"/>
          <w:color w:val="000000"/>
          <w:sz w:val="22"/>
        </w:rPr>
        <w:t xml:space="preserve">’s other </w:t>
      </w:r>
      <w:r>
        <w:rPr>
          <w:rFonts w:ascii="Times New Roman" w:hAnsi="Times New Roman"/>
          <w:sz w:val="22"/>
        </w:rPr>
        <w:t>certifying</w:t>
      </w:r>
      <w:r>
        <w:rPr>
          <w:rFonts w:ascii="Times New Roman" w:hAnsi="Times New Roman"/>
          <w:color w:val="000000"/>
          <w:sz w:val="22"/>
        </w:rPr>
        <w:t xml:space="preserve"> officer(s) and I have disclosed, based on our most recent evaluation of </w:t>
      </w:r>
      <w:r>
        <w:rPr>
          <w:rFonts w:ascii="Times New Roman" w:hAnsi="Times New Roman"/>
          <w:sz w:val="22"/>
        </w:rPr>
        <w:t>internal control over financial reporting</w:t>
      </w:r>
      <w:r>
        <w:rPr>
          <w:rFonts w:ascii="Times New Roman" w:hAnsi="Times New Roman"/>
          <w:color w:val="000000"/>
          <w:sz w:val="22"/>
        </w:rPr>
        <w:t xml:space="preserve">, to the </w:t>
      </w:r>
      <w:r>
        <w:rPr>
          <w:rFonts w:ascii="Times New Roman" w:hAnsi="Times New Roman"/>
          <w:sz w:val="22"/>
        </w:rPr>
        <w:t>registrant</w:t>
      </w:r>
      <w:r>
        <w:rPr>
          <w:rFonts w:ascii="Times New Roman" w:hAnsi="Times New Roman"/>
          <w:color w:val="000000"/>
          <w:sz w:val="22"/>
        </w:rPr>
        <w:t xml:space="preserve">'s auditors and the audit committee of the </w:t>
      </w:r>
      <w:r>
        <w:rPr>
          <w:rFonts w:ascii="Times New Roman" w:hAnsi="Times New Roman"/>
          <w:sz w:val="22"/>
        </w:rPr>
        <w:t>registrant</w:t>
      </w:r>
      <w:r>
        <w:rPr>
          <w:rFonts w:ascii="Times New Roman" w:hAnsi="Times New Roman"/>
          <w:color w:val="000000"/>
          <w:sz w:val="22"/>
        </w:rPr>
        <w:t>’s board of directors (or persons performing the equivalent functions):</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All significant deficiencies and </w:t>
      </w:r>
      <w:r>
        <w:rPr>
          <w:rFonts w:ascii="Times New Roman" w:hAnsi="Times New Roman"/>
          <w:sz w:val="22"/>
        </w:rPr>
        <w:t>material</w:t>
      </w:r>
      <w:r>
        <w:rPr>
          <w:rFonts w:ascii="Times New Roman" w:hAnsi="Times New Roman"/>
          <w:color w:val="000000"/>
          <w:sz w:val="22"/>
        </w:rPr>
        <w:t xml:space="preserve"> weaknesses in the design or operation of </w:t>
      </w:r>
      <w:r>
        <w:rPr>
          <w:rFonts w:ascii="Times New Roman" w:hAnsi="Times New Roman"/>
          <w:sz w:val="22"/>
        </w:rPr>
        <w:t>internal control over financial reporting</w:t>
      </w:r>
      <w:r>
        <w:rPr>
          <w:rFonts w:ascii="Times New Roman" w:hAnsi="Times New Roman"/>
          <w:color w:val="000000"/>
          <w:sz w:val="22"/>
        </w:rPr>
        <w:t xml:space="preserve"> which are reasonably likely to adversely affect the </w:t>
      </w:r>
      <w:r>
        <w:rPr>
          <w:rFonts w:ascii="Times New Roman" w:hAnsi="Times New Roman"/>
          <w:sz w:val="22"/>
        </w:rPr>
        <w:t>registrant</w:t>
      </w:r>
      <w:r>
        <w:rPr>
          <w:rFonts w:ascii="Times New Roman" w:hAnsi="Times New Roman"/>
          <w:color w:val="000000"/>
          <w:sz w:val="22"/>
        </w:rPr>
        <w:t>'s ability to record, process, summarize and report financial information; and</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Any fraud, whether or not </w:t>
      </w:r>
      <w:r>
        <w:rPr>
          <w:rFonts w:ascii="Times New Roman" w:hAnsi="Times New Roman"/>
          <w:sz w:val="22"/>
        </w:rPr>
        <w:t>material</w:t>
      </w:r>
      <w:r>
        <w:rPr>
          <w:rFonts w:ascii="Times New Roman" w:hAnsi="Times New Roman"/>
          <w:color w:val="000000"/>
          <w:sz w:val="22"/>
        </w:rPr>
        <w:t xml:space="preserve">, that involves management or other </w:t>
      </w:r>
      <w:r>
        <w:rPr>
          <w:rFonts w:ascii="Times New Roman" w:hAnsi="Times New Roman"/>
          <w:sz w:val="22"/>
        </w:rPr>
        <w:t>employees</w:t>
      </w:r>
      <w:r>
        <w:rPr>
          <w:rFonts w:ascii="Times New Roman" w:hAnsi="Times New Roman"/>
          <w:color w:val="000000"/>
          <w:sz w:val="22"/>
        </w:rPr>
        <w:t xml:space="preserve"> who have a significant role in the </w:t>
      </w:r>
      <w:r>
        <w:rPr>
          <w:rFonts w:ascii="Times New Roman" w:hAnsi="Times New Roman"/>
          <w:sz w:val="22"/>
        </w:rPr>
        <w:t>registrant</w:t>
      </w:r>
      <w:r>
        <w:rPr>
          <w:rFonts w:ascii="Times New Roman" w:hAnsi="Times New Roman"/>
          <w:color w:val="000000"/>
          <w:sz w:val="22"/>
        </w:rPr>
        <w:t xml:space="preserve">’s </w:t>
      </w:r>
      <w:r>
        <w:rPr>
          <w:rFonts w:ascii="Times New Roman" w:hAnsi="Times New Roman"/>
          <w:sz w:val="22"/>
        </w:rPr>
        <w:t>internal control over financial reporting</w:t>
      </w:r>
      <w:r>
        <w:rPr>
          <w:rFonts w:ascii="Times New Roman" w:hAnsi="Times New Roman"/>
          <w:color w:val="000000"/>
          <w:sz w:val="22"/>
        </w:rPr>
        <w:t>.</w:t>
      </w:r>
    </w:p>
    <w:p>
      <w:pPr>
        <w:pStyle w:val="TextBody"/>
        <w:bidi w:val="0"/>
        <w:spacing w:before="0" w:after="150"/>
        <w:jc w:val="left"/>
        <w:rPr/>
      </w:pPr>
      <w:r>
        <w:rPr/>
        <w:t> </w:t>
      </w:r>
    </w:p>
    <w:tbl>
      <w:tblPr>
        <w:tblW w:w="6209" w:type="dxa"/>
        <w:jc w:val="left"/>
        <w:tblInd w:w="0" w:type="dxa"/>
        <w:tblLayout w:type="fixed"/>
        <w:tblCellMar>
          <w:top w:w="28" w:type="dxa"/>
          <w:left w:w="28" w:type="dxa"/>
          <w:bottom w:w="28" w:type="dxa"/>
          <w:right w:w="28" w:type="dxa"/>
        </w:tblCellMar>
      </w:tblPr>
      <w:tblGrid>
        <w:gridCol w:w="2221"/>
        <w:gridCol w:w="146"/>
        <w:gridCol w:w="631"/>
        <w:gridCol w:w="3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Beck</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Beck</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2"/>
        </w:rPr>
      </w:pPr>
      <w:bookmarkStart w:id="29" w:name="gloo-ex31_2.htm"/>
      <w:bookmarkStart w:id="30" w:name="ksglooex31_2"/>
      <w:bookmarkEnd w:id="29"/>
      <w:bookmarkEnd w:id="30"/>
      <w:r>
        <w:rPr>
          <w:rFonts w:ascii="Times New Roman" w:hAnsi="Times New Roman"/>
          <w:b/>
          <w:color w:val="000000"/>
          <w:sz w:val="22"/>
        </w:rPr>
        <w:t>Exhibit 31.2</w:t>
      </w:r>
      <w:r>
        <w:br w:type="page"/>
      </w:r>
    </w:p>
    <w:p>
      <w:pPr>
        <w:pStyle w:val="TextBody"/>
        <w:bidi w:val="0"/>
        <w:jc w:val="center"/>
        <w:rPr>
          <w:rFonts w:ascii="Times New Roman" w:hAnsi="Times New Roman"/>
          <w:b/>
          <w:caps/>
          <w:color w:val="000000"/>
          <w:sz w:val="22"/>
        </w:rPr>
      </w:pPr>
      <w:r>
        <w:rPr>
          <w:rFonts w:ascii="Times New Roman" w:hAnsi="Times New Roman"/>
          <w:b/>
          <w:caps/>
          <w:color w:val="000000"/>
          <w:sz w:val="22"/>
        </w:rPr>
        <w:t>Certification of Principal Financial Officer</w:t>
      </w:r>
    </w:p>
    <w:p>
      <w:pPr>
        <w:pStyle w:val="TextBody"/>
        <w:bidi w:val="0"/>
        <w:jc w:val="center"/>
        <w:rPr>
          <w:rFonts w:ascii="Times New Roman" w:hAnsi="Times New Roman"/>
          <w:sz w:val="22"/>
        </w:rPr>
      </w:pPr>
      <w:r>
        <w:rPr>
          <w:rFonts w:ascii="Times New Roman" w:hAnsi="Times New Roman"/>
          <w:b/>
          <w:caps/>
          <w:color w:val="000000"/>
          <w:sz w:val="22"/>
        </w:rPr>
        <w:t>Pursuant to EXCHANGE ACT RULES 13</w:t>
      </w:r>
      <w:r>
        <w:rPr>
          <w:rFonts w:ascii="Times New Roman" w:hAnsi="Times New Roman"/>
          <w:b/>
          <w:color w:val="000000"/>
          <w:sz w:val="22"/>
        </w:rPr>
        <w:t>a</w:t>
      </w:r>
      <w:r>
        <w:rPr>
          <w:rFonts w:ascii="Times New Roman" w:hAnsi="Times New Roman"/>
          <w:caps/>
          <w:color w:val="000000"/>
          <w:sz w:val="22"/>
        </w:rPr>
        <w:t xml:space="preserve"> </w:t>
      </w:r>
      <w:r>
        <w:rPr>
          <w:rFonts w:ascii="Times New Roman" w:hAnsi="Times New Roman"/>
          <w:b/>
          <w:caps/>
          <w:color w:val="000000"/>
          <w:sz w:val="22"/>
        </w:rPr>
        <w:t>-14(</w:t>
      </w:r>
      <w:r>
        <w:rPr>
          <w:rFonts w:ascii="Times New Roman" w:hAnsi="Times New Roman"/>
          <w:b/>
          <w:color w:val="000000"/>
          <w:sz w:val="22"/>
        </w:rPr>
        <w:t>a</w:t>
      </w:r>
      <w:r>
        <w:rPr>
          <w:rFonts w:ascii="Times New Roman" w:hAnsi="Times New Roman"/>
          <w:b/>
          <w:caps/>
          <w:color w:val="000000"/>
          <w:sz w:val="22"/>
        </w:rPr>
        <w:t>) and 15</w:t>
      </w:r>
      <w:r>
        <w:rPr>
          <w:rFonts w:ascii="Times New Roman" w:hAnsi="Times New Roman"/>
          <w:b/>
          <w:color w:val="000000"/>
          <w:sz w:val="22"/>
        </w:rPr>
        <w:t>d</w:t>
      </w:r>
      <w:r>
        <w:rPr>
          <w:rFonts w:ascii="Times New Roman" w:hAnsi="Times New Roman"/>
          <w:b/>
          <w:caps/>
          <w:color w:val="000000"/>
          <w:sz w:val="22"/>
        </w:rPr>
        <w:t>-14(</w:t>
      </w:r>
      <w:r>
        <w:rPr>
          <w:rFonts w:ascii="Times New Roman" w:hAnsi="Times New Roman"/>
          <w:b/>
          <w:color w:val="000000"/>
          <w:sz w:val="22"/>
        </w:rPr>
        <w:t>a</w:t>
      </w:r>
      <w:r>
        <w:rPr>
          <w:rFonts w:ascii="Times New Roman" w:hAnsi="Times New Roman"/>
          <w:b/>
          <w:caps/>
          <w:color w:val="000000"/>
          <w:sz w:val="22"/>
        </w:rPr>
        <w:t>),</w:t>
      </w:r>
    </w:p>
    <w:p>
      <w:pPr>
        <w:pStyle w:val="TextBody"/>
        <w:bidi w:val="0"/>
        <w:jc w:val="center"/>
        <w:rPr>
          <w:rFonts w:ascii="Times New Roman" w:hAnsi="Times New Roman"/>
          <w:b/>
          <w:caps/>
          <w:color w:val="000000"/>
          <w:sz w:val="22"/>
        </w:rPr>
      </w:pPr>
      <w:r>
        <w:rPr>
          <w:rFonts w:ascii="Times New Roman" w:hAnsi="Times New Roman"/>
          <w:b/>
          <w:caps/>
          <w:color w:val="000000"/>
          <w:sz w:val="22"/>
        </w:rPr>
        <w:t>As adopted pursuant to Section 302 of the Sarbanes-oxley act of 2002</w:t>
      </w:r>
    </w:p>
    <w:p>
      <w:pPr>
        <w:pStyle w:val="TextBody"/>
        <w:bidi w:val="0"/>
        <w:spacing w:before="240"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Paul Seamon, certify that:</w:t>
      </w:r>
    </w:p>
    <w:p>
      <w:pPr>
        <w:pStyle w:val="TextBody"/>
        <w:bidi w:val="0"/>
        <w:jc w:val="left"/>
        <w:rPr/>
      </w:pPr>
      <w:r>
        <w:rPr/>
        <w:t> </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I have reviewed this Quarterly Report on Form 10-Q of Gloo Holdings, Inc.;</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Based on my knowledge, this report does not contain any untrue statement of a </w:t>
      </w:r>
      <w:r>
        <w:rPr>
          <w:rFonts w:ascii="Times New Roman" w:hAnsi="Times New Roman"/>
          <w:sz w:val="22"/>
        </w:rPr>
        <w:t>material</w:t>
      </w:r>
      <w:r>
        <w:rPr>
          <w:rFonts w:ascii="Times New Roman" w:hAnsi="Times New Roman"/>
          <w:color w:val="000000"/>
          <w:sz w:val="22"/>
        </w:rPr>
        <w:t xml:space="preserve"> fact or omit to state a </w:t>
      </w:r>
      <w:r>
        <w:rPr>
          <w:rFonts w:ascii="Times New Roman" w:hAnsi="Times New Roman"/>
          <w:sz w:val="22"/>
        </w:rPr>
        <w:t>material</w:t>
      </w:r>
      <w:r>
        <w:rPr>
          <w:rFonts w:ascii="Times New Roman" w:hAnsi="Times New Roman"/>
          <w:color w:val="000000"/>
          <w:sz w:val="22"/>
        </w:rPr>
        <w:t xml:space="preserve"> fact necessary to make the statements made, in light of the circumstances under which such statements were made, not misleading with respect to the period covered by this report;</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Based on my knowledge, the financial statements, and other financial information included in this report, fairly present in all </w:t>
      </w:r>
      <w:r>
        <w:rPr>
          <w:rFonts w:ascii="Times New Roman" w:hAnsi="Times New Roman"/>
          <w:sz w:val="22"/>
        </w:rPr>
        <w:t>material</w:t>
      </w:r>
      <w:r>
        <w:rPr>
          <w:rFonts w:ascii="Times New Roman" w:hAnsi="Times New Roman"/>
          <w:color w:val="000000"/>
          <w:sz w:val="22"/>
        </w:rPr>
        <w:t xml:space="preserve"> respects the financial condition, results of operations and cash flows of the </w:t>
      </w:r>
      <w:r>
        <w:rPr>
          <w:rFonts w:ascii="Times New Roman" w:hAnsi="Times New Roman"/>
          <w:sz w:val="22"/>
        </w:rPr>
        <w:t>registrant</w:t>
      </w:r>
      <w:r>
        <w:rPr>
          <w:rFonts w:ascii="Times New Roman" w:hAnsi="Times New Roman"/>
          <w:color w:val="000000"/>
          <w:sz w:val="22"/>
        </w:rPr>
        <w:t xml:space="preserve"> as of, and for, the periods presented in this report;</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The </w:t>
      </w:r>
      <w:r>
        <w:rPr>
          <w:rFonts w:ascii="Times New Roman" w:hAnsi="Times New Roman"/>
          <w:sz w:val="22"/>
        </w:rPr>
        <w:t>registrant</w:t>
      </w:r>
      <w:r>
        <w:rPr>
          <w:rFonts w:ascii="Times New Roman" w:hAnsi="Times New Roman"/>
          <w:color w:val="000000"/>
          <w:sz w:val="22"/>
        </w:rPr>
        <w:t xml:space="preserve">’s other </w:t>
      </w:r>
      <w:r>
        <w:rPr>
          <w:rFonts w:ascii="Times New Roman" w:hAnsi="Times New Roman"/>
          <w:sz w:val="22"/>
        </w:rPr>
        <w:t>certifying</w:t>
      </w:r>
      <w:r>
        <w:rPr>
          <w:rFonts w:ascii="Times New Roman" w:hAnsi="Times New Roman"/>
          <w:color w:val="000000"/>
          <w:sz w:val="22"/>
        </w:rPr>
        <w:t xml:space="preserve"> officer(s) and I are responsible for establishing and maintaining disclosure controls and procedures (as defined in </w:t>
      </w:r>
      <w:r>
        <w:rPr>
          <w:rFonts w:ascii="Times New Roman" w:hAnsi="Times New Roman"/>
          <w:sz w:val="22"/>
        </w:rPr>
        <w:t>Exchange Act</w:t>
      </w:r>
      <w:r>
        <w:rPr>
          <w:rFonts w:ascii="Times New Roman" w:hAnsi="Times New Roman"/>
          <w:color w:val="000000"/>
          <w:sz w:val="22"/>
        </w:rPr>
        <w:t xml:space="preserve"> Rules 13a-15(e) and 15d-15(e)) for the </w:t>
      </w:r>
      <w:r>
        <w:rPr>
          <w:rFonts w:ascii="Times New Roman" w:hAnsi="Times New Roman"/>
          <w:sz w:val="22"/>
        </w:rPr>
        <w:t>registrant</w:t>
      </w:r>
      <w:r>
        <w:rPr>
          <w:rFonts w:ascii="Times New Roman" w:hAnsi="Times New Roman"/>
          <w:color w:val="000000"/>
          <w:sz w:val="22"/>
        </w:rPr>
        <w:t xml:space="preserve"> and have:</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(a) Designed such disclosure controls and procedures, or caused such disclosure controls and procedures to be designed under our supervision, to ensure that </w:t>
      </w:r>
      <w:r>
        <w:rPr>
          <w:rFonts w:ascii="Times New Roman" w:hAnsi="Times New Roman"/>
          <w:sz w:val="22"/>
        </w:rPr>
        <w:t>material</w:t>
      </w:r>
      <w:r>
        <w:rPr>
          <w:rFonts w:ascii="Times New Roman" w:hAnsi="Times New Roman"/>
          <w:color w:val="000000"/>
          <w:sz w:val="22"/>
        </w:rPr>
        <w:t xml:space="preserve"> information relating to the </w:t>
      </w:r>
      <w:r>
        <w:rPr>
          <w:rFonts w:ascii="Times New Roman" w:hAnsi="Times New Roman"/>
          <w:sz w:val="22"/>
        </w:rPr>
        <w:t>registrant</w:t>
      </w:r>
      <w:r>
        <w:rPr>
          <w:rFonts w:ascii="Times New Roman" w:hAnsi="Times New Roman"/>
          <w:color w:val="000000"/>
          <w:sz w:val="22"/>
        </w:rPr>
        <w:t>, including its consolidated subsidiaries, is made known to us by others within those entities, particularly during the period in which this report is being prepared;</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(b) Evaluated the effectiveness of the </w:t>
      </w:r>
      <w:r>
        <w:rPr>
          <w:rFonts w:ascii="Times New Roman" w:hAnsi="Times New Roman"/>
          <w:sz w:val="22"/>
        </w:rPr>
        <w:t>registrant</w:t>
      </w:r>
      <w:r>
        <w:rPr>
          <w:rFonts w:ascii="Times New Roman" w:hAnsi="Times New Roman"/>
          <w:color w:val="000000"/>
          <w:sz w:val="22"/>
        </w:rPr>
        <w: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(c) Disclosed in this report any change in the </w:t>
      </w:r>
      <w:r>
        <w:rPr>
          <w:rFonts w:ascii="Times New Roman" w:hAnsi="Times New Roman"/>
          <w:sz w:val="22"/>
        </w:rPr>
        <w:t>registrant</w:t>
      </w:r>
      <w:r>
        <w:rPr>
          <w:rFonts w:ascii="Times New Roman" w:hAnsi="Times New Roman"/>
          <w:color w:val="000000"/>
          <w:sz w:val="22"/>
        </w:rPr>
        <w:t xml:space="preserve">’s </w:t>
      </w:r>
      <w:r>
        <w:rPr>
          <w:rFonts w:ascii="Times New Roman" w:hAnsi="Times New Roman"/>
          <w:sz w:val="22"/>
        </w:rPr>
        <w:t>internal control over financial reporting</w:t>
      </w:r>
      <w:r>
        <w:rPr>
          <w:rFonts w:ascii="Times New Roman" w:hAnsi="Times New Roman"/>
          <w:color w:val="000000"/>
          <w:sz w:val="22"/>
        </w:rPr>
        <w:t xml:space="preserve"> that occurred during the </w:t>
      </w:r>
      <w:r>
        <w:rPr>
          <w:rFonts w:ascii="Times New Roman" w:hAnsi="Times New Roman"/>
          <w:sz w:val="22"/>
        </w:rPr>
        <w:t>registrant</w:t>
      </w:r>
      <w:r>
        <w:rPr>
          <w:rFonts w:ascii="Times New Roman" w:hAnsi="Times New Roman"/>
          <w:color w:val="000000"/>
          <w:sz w:val="22"/>
        </w:rPr>
        <w:t xml:space="preserve">’s most recent fiscal quarter (the </w:t>
      </w:r>
      <w:r>
        <w:rPr>
          <w:rFonts w:ascii="Times New Roman" w:hAnsi="Times New Roman"/>
          <w:sz w:val="22"/>
        </w:rPr>
        <w:t>registrant</w:t>
      </w:r>
      <w:r>
        <w:rPr>
          <w:rFonts w:ascii="Times New Roman" w:hAnsi="Times New Roman"/>
          <w:color w:val="000000"/>
          <w:sz w:val="22"/>
        </w:rPr>
        <w:t xml:space="preserve">’s fourth fiscal quarter in the case of an annual report) that has materially affected, or is reasonably likely to materially affect, the </w:t>
      </w:r>
      <w:r>
        <w:rPr>
          <w:rFonts w:ascii="Times New Roman" w:hAnsi="Times New Roman"/>
          <w:sz w:val="22"/>
        </w:rPr>
        <w:t>registrant</w:t>
      </w:r>
      <w:r>
        <w:rPr>
          <w:rFonts w:ascii="Times New Roman" w:hAnsi="Times New Roman"/>
          <w:color w:val="000000"/>
          <w:sz w:val="22"/>
        </w:rPr>
        <w:t xml:space="preserve">’s </w:t>
      </w:r>
      <w:r>
        <w:rPr>
          <w:rFonts w:ascii="Times New Roman" w:hAnsi="Times New Roman"/>
          <w:sz w:val="22"/>
        </w:rPr>
        <w:t>internal control over financial reporting</w:t>
      </w:r>
      <w:r>
        <w:rPr>
          <w:rFonts w:ascii="Times New Roman" w:hAnsi="Times New Roman"/>
          <w:color w:val="000000"/>
          <w:sz w:val="22"/>
        </w:rPr>
        <w:t>; and</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The </w:t>
      </w:r>
      <w:r>
        <w:rPr>
          <w:rFonts w:ascii="Times New Roman" w:hAnsi="Times New Roman"/>
          <w:sz w:val="22"/>
        </w:rPr>
        <w:t>registrant</w:t>
      </w:r>
      <w:r>
        <w:rPr>
          <w:rFonts w:ascii="Times New Roman" w:hAnsi="Times New Roman"/>
          <w:color w:val="000000"/>
          <w:sz w:val="22"/>
        </w:rPr>
        <w:t xml:space="preserve">’s other </w:t>
      </w:r>
      <w:r>
        <w:rPr>
          <w:rFonts w:ascii="Times New Roman" w:hAnsi="Times New Roman"/>
          <w:sz w:val="22"/>
        </w:rPr>
        <w:t>certifying</w:t>
      </w:r>
      <w:r>
        <w:rPr>
          <w:rFonts w:ascii="Times New Roman" w:hAnsi="Times New Roman"/>
          <w:color w:val="000000"/>
          <w:sz w:val="22"/>
        </w:rPr>
        <w:t xml:space="preserve"> officer(s) and I have disclosed, based on our most recent evaluation of </w:t>
      </w:r>
      <w:r>
        <w:rPr>
          <w:rFonts w:ascii="Times New Roman" w:hAnsi="Times New Roman"/>
          <w:sz w:val="22"/>
        </w:rPr>
        <w:t>internal control over financial reporting</w:t>
      </w:r>
      <w:r>
        <w:rPr>
          <w:rFonts w:ascii="Times New Roman" w:hAnsi="Times New Roman"/>
          <w:color w:val="000000"/>
          <w:sz w:val="22"/>
        </w:rPr>
        <w:t xml:space="preserve">, to the </w:t>
      </w:r>
      <w:r>
        <w:rPr>
          <w:rFonts w:ascii="Times New Roman" w:hAnsi="Times New Roman"/>
          <w:sz w:val="22"/>
        </w:rPr>
        <w:t>registrant</w:t>
      </w:r>
      <w:r>
        <w:rPr>
          <w:rFonts w:ascii="Times New Roman" w:hAnsi="Times New Roman"/>
          <w:color w:val="000000"/>
          <w:sz w:val="22"/>
        </w:rPr>
        <w:t xml:space="preserve">’s auditors and the audit committee of the </w:t>
      </w:r>
      <w:r>
        <w:rPr>
          <w:rFonts w:ascii="Times New Roman" w:hAnsi="Times New Roman"/>
          <w:sz w:val="22"/>
        </w:rPr>
        <w:t>registrant</w:t>
      </w:r>
      <w:r>
        <w:rPr>
          <w:rFonts w:ascii="Times New Roman" w:hAnsi="Times New Roman"/>
          <w:color w:val="000000"/>
          <w:sz w:val="22"/>
        </w:rPr>
        <w:t>’s board of directors (or persons performing the equivalent functions):</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All significant deficiencies and </w:t>
      </w:r>
      <w:r>
        <w:rPr>
          <w:rFonts w:ascii="Times New Roman" w:hAnsi="Times New Roman"/>
          <w:sz w:val="22"/>
        </w:rPr>
        <w:t>material</w:t>
      </w:r>
      <w:r>
        <w:rPr>
          <w:rFonts w:ascii="Times New Roman" w:hAnsi="Times New Roman"/>
          <w:color w:val="000000"/>
          <w:sz w:val="22"/>
        </w:rPr>
        <w:t xml:space="preserve"> weaknesses in the design or operation of </w:t>
      </w:r>
      <w:r>
        <w:rPr>
          <w:rFonts w:ascii="Times New Roman" w:hAnsi="Times New Roman"/>
          <w:sz w:val="22"/>
        </w:rPr>
        <w:t>internal control over financial reporting</w:t>
      </w:r>
      <w:r>
        <w:rPr>
          <w:rFonts w:ascii="Times New Roman" w:hAnsi="Times New Roman"/>
          <w:color w:val="000000"/>
          <w:sz w:val="22"/>
        </w:rPr>
        <w:t xml:space="preserve"> which are reasonably likely to adversely affect the </w:t>
      </w:r>
      <w:r>
        <w:rPr>
          <w:rFonts w:ascii="Times New Roman" w:hAnsi="Times New Roman"/>
          <w:sz w:val="22"/>
        </w:rPr>
        <w:t>registrant</w:t>
      </w:r>
      <w:r>
        <w:rPr>
          <w:rFonts w:ascii="Times New Roman" w:hAnsi="Times New Roman"/>
          <w:color w:val="000000"/>
          <w:sz w:val="22"/>
        </w:rPr>
        <w:t>’s ability to record, process, summarize and report financial information; and</w:t>
      </w:r>
    </w:p>
    <w:p>
      <w:pPr>
        <w:pStyle w:val="TextBody"/>
        <w:bidi w:val="0"/>
        <w:spacing w:before="0" w:after="15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150"/>
        <w:jc w:val="left"/>
        <w:rPr>
          <w:rFonts w:ascii="Times New Roman" w:hAnsi="Times New Roman"/>
          <w:sz w:val="22"/>
        </w:rPr>
      </w:pPr>
      <w:r>
        <w:rPr>
          <w:rFonts w:ascii="Times New Roman" w:hAnsi="Times New Roman"/>
          <w:color w:val="000000"/>
          <w:sz w:val="22"/>
        </w:rPr>
        <w:t xml:space="preserve">Any fraud, whether or not </w:t>
      </w:r>
      <w:r>
        <w:rPr>
          <w:rFonts w:ascii="Times New Roman" w:hAnsi="Times New Roman"/>
          <w:sz w:val="22"/>
        </w:rPr>
        <w:t>material</w:t>
      </w:r>
      <w:r>
        <w:rPr>
          <w:rFonts w:ascii="Times New Roman" w:hAnsi="Times New Roman"/>
          <w:color w:val="000000"/>
          <w:sz w:val="22"/>
        </w:rPr>
        <w:t xml:space="preserve">, that involves management or other </w:t>
      </w:r>
      <w:r>
        <w:rPr>
          <w:rFonts w:ascii="Times New Roman" w:hAnsi="Times New Roman"/>
          <w:sz w:val="22"/>
        </w:rPr>
        <w:t>employees</w:t>
      </w:r>
      <w:r>
        <w:rPr>
          <w:rFonts w:ascii="Times New Roman" w:hAnsi="Times New Roman"/>
          <w:color w:val="000000"/>
          <w:sz w:val="22"/>
        </w:rPr>
        <w:t xml:space="preserve"> who have a significant role in the </w:t>
      </w:r>
      <w:r>
        <w:rPr>
          <w:rFonts w:ascii="Times New Roman" w:hAnsi="Times New Roman"/>
          <w:sz w:val="22"/>
        </w:rPr>
        <w:t>registrant</w:t>
      </w:r>
      <w:r>
        <w:rPr>
          <w:rFonts w:ascii="Times New Roman" w:hAnsi="Times New Roman"/>
          <w:color w:val="000000"/>
          <w:sz w:val="22"/>
        </w:rPr>
        <w:t xml:space="preserve">’s </w:t>
      </w:r>
      <w:r>
        <w:rPr>
          <w:rFonts w:ascii="Times New Roman" w:hAnsi="Times New Roman"/>
          <w:sz w:val="22"/>
        </w:rPr>
        <w:t>internal control over financial reporting</w:t>
      </w:r>
      <w:r>
        <w:rPr>
          <w:rFonts w:ascii="Times New Roman" w:hAnsi="Times New Roman"/>
          <w:color w:val="000000"/>
          <w:sz w:val="22"/>
        </w:rPr>
        <w:t>.</w:t>
      </w:r>
    </w:p>
    <w:p>
      <w:pPr>
        <w:pStyle w:val="TextBody"/>
        <w:bidi w:val="0"/>
        <w:spacing w:before="0" w:after="150"/>
        <w:jc w:val="left"/>
        <w:rPr/>
      </w:pPr>
      <w:r>
        <w:rPr/>
        <w:t> </w:t>
      </w:r>
    </w:p>
    <w:tbl>
      <w:tblPr>
        <w:tblW w:w="5414" w:type="dxa"/>
        <w:jc w:val="left"/>
        <w:tblInd w:w="0" w:type="dxa"/>
        <w:tblLayout w:type="fixed"/>
        <w:tblCellMar>
          <w:top w:w="28" w:type="dxa"/>
          <w:left w:w="28" w:type="dxa"/>
          <w:bottom w:w="28" w:type="dxa"/>
          <w:right w:w="28" w:type="dxa"/>
        </w:tblCellMar>
      </w:tblPr>
      <w:tblGrid>
        <w:gridCol w:w="2221"/>
        <w:gridCol w:w="146"/>
        <w:gridCol w:w="631"/>
        <w:gridCol w:w="241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Seamon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Seamon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1" w:name="gloo-ex32_1.htm"/>
      <w:bookmarkStart w:id="32" w:name="ksglooex32_1"/>
      <w:bookmarkEnd w:id="31"/>
      <w:bookmarkEnd w:id="32"/>
      <w:r>
        <w:rPr>
          <w:rFonts w:ascii="Times New Roman" w:hAnsi="Times New Roman"/>
          <w:b/>
          <w:color w:val="000000"/>
          <w:sz w:val="22"/>
        </w:rPr>
        <w:t>Exhibit 32.1</w:t>
      </w:r>
      <w:r>
        <w:br w:type="page"/>
      </w:r>
    </w:p>
    <w:p>
      <w:pPr>
        <w:pStyle w:val="TextBody"/>
        <w:bidi w:val="0"/>
        <w:jc w:val="righ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Certifications of Principal Executive Officer and Principal Financial Officer</w:t>
      </w:r>
    </w:p>
    <w:p>
      <w:pPr>
        <w:pStyle w:val="TextBody"/>
        <w:bidi w:val="0"/>
        <w:jc w:val="center"/>
        <w:rPr>
          <w:rFonts w:ascii="Times New Roman" w:hAnsi="Times New Roman"/>
          <w:b/>
          <w:caps/>
          <w:color w:val="000000"/>
          <w:sz w:val="22"/>
        </w:rPr>
      </w:pPr>
      <w:r>
        <w:rPr>
          <w:rFonts w:ascii="Times New Roman" w:hAnsi="Times New Roman"/>
          <w:b/>
          <w:caps/>
          <w:color w:val="000000"/>
          <w:sz w:val="22"/>
        </w:rPr>
        <w:t>Pursuant to 18 U.S.C. Section 1350,</w:t>
      </w:r>
    </w:p>
    <w:p>
      <w:pPr>
        <w:pStyle w:val="TextBody"/>
        <w:bidi w:val="0"/>
        <w:jc w:val="center"/>
        <w:rPr>
          <w:rFonts w:ascii="Times New Roman" w:hAnsi="Times New Roman"/>
          <w:b/>
          <w:caps/>
          <w:color w:val="000000"/>
          <w:sz w:val="22"/>
        </w:rPr>
      </w:pPr>
      <w:r>
        <w:rPr>
          <w:rFonts w:ascii="Times New Roman" w:hAnsi="Times New Roman"/>
          <w:b/>
          <w:caps/>
          <w:color w:val="000000"/>
          <w:sz w:val="22"/>
        </w:rPr>
        <w:t>As adopted pursuant to</w:t>
      </w:r>
    </w:p>
    <w:p>
      <w:pPr>
        <w:pStyle w:val="TextBody"/>
        <w:bidi w:val="0"/>
        <w:jc w:val="center"/>
        <w:rPr>
          <w:rFonts w:ascii="Times New Roman" w:hAnsi="Times New Roman"/>
          <w:b/>
          <w:caps/>
          <w:color w:val="000000"/>
          <w:sz w:val="22"/>
        </w:rPr>
      </w:pPr>
      <w:r>
        <w:rPr>
          <w:rFonts w:ascii="Times New Roman" w:hAnsi="Times New Roman"/>
          <w:b/>
          <w:caps/>
          <w:color w:val="000000"/>
          <w:sz w:val="22"/>
        </w:rPr>
        <w:t>Section 906 of the Sarbanes-oxley act of 2002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 Scott Beck, certify, pursuant to 18 U.S.C. Section 1350, as adopted pursuant to Section 906 of the Sarbanes-Oxley Act of 2002, that the Quarterly Report on Form 10-Q of Gloo Holdings, Inc. for the fiscal quarter ended July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Gloo Holdings, Inc.</w:t>
      </w:r>
    </w:p>
    <w:p>
      <w:pPr>
        <w:pStyle w:val="TextBody"/>
        <w:bidi w:val="0"/>
        <w:spacing w:before="240" w:after="283"/>
        <w:jc w:val="left"/>
        <w:rPr/>
      </w:pPr>
      <w:r>
        <w:rPr/>
        <w:t> </w:t>
      </w:r>
    </w:p>
    <w:tbl>
      <w:tblPr>
        <w:tblW w:w="5279" w:type="dxa"/>
        <w:jc w:val="left"/>
        <w:tblInd w:w="0" w:type="dxa"/>
        <w:tblLayout w:type="fixed"/>
        <w:tblCellMar>
          <w:top w:w="28" w:type="dxa"/>
          <w:left w:w="28" w:type="dxa"/>
          <w:bottom w:w="28" w:type="dxa"/>
          <w:right w:w="28" w:type="dxa"/>
        </w:tblCellMar>
      </w:tblPr>
      <w:tblGrid>
        <w:gridCol w:w="2221"/>
        <w:gridCol w:w="146"/>
        <w:gridCol w:w="406"/>
        <w:gridCol w:w="250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Beck</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Beck</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I, Paul Seamon, certify, pursuant to 18 U.S.C. Section 1350, as adopted pursuant to Section 906 of the Sarbanes-Oxley Act of 2002, that the Quarterly Report on Form 10-Q of Gloo Holdings, Inc. for the fiscal quarter ended July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Gloo Holdings, Inc. </w:t>
      </w:r>
    </w:p>
    <w:p>
      <w:pPr>
        <w:pStyle w:val="TextBody"/>
        <w:bidi w:val="0"/>
        <w:jc w:val="left"/>
        <w:rPr/>
      </w:pPr>
      <w:r>
        <w:rPr/>
        <w:t> </w:t>
      </w:r>
    </w:p>
    <w:p>
      <w:pPr>
        <w:pStyle w:val="TextBody"/>
        <w:bidi w:val="0"/>
        <w:spacing w:before="240" w:after="283"/>
        <w:jc w:val="left"/>
        <w:rPr/>
      </w:pPr>
      <w:r>
        <w:rPr/>
        <w:t> </w:t>
      </w:r>
    </w:p>
    <w:tbl>
      <w:tblPr>
        <w:tblW w:w="5294" w:type="dxa"/>
        <w:jc w:val="left"/>
        <w:tblInd w:w="0" w:type="dxa"/>
        <w:tblLayout w:type="fixed"/>
        <w:tblCellMar>
          <w:top w:w="28" w:type="dxa"/>
          <w:left w:w="28" w:type="dxa"/>
          <w:bottom w:w="28" w:type="dxa"/>
          <w:right w:w="28" w:type="dxa"/>
        </w:tblCellMar>
      </w:tblPr>
      <w:tblGrid>
        <w:gridCol w:w="2221"/>
        <w:gridCol w:w="146"/>
        <w:gridCol w:w="406"/>
        <w:gridCol w:w="252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Seamon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Seamon</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9785/000119312525330952/gloo-ex3_1.htm" TargetMode="External"/><Relationship Id="rId3" Type="http://schemas.openxmlformats.org/officeDocument/2006/relationships/hyperlink" Target="https://www.sec.gov/Archives/edgar/data/2069785/000119312525330952/gloo-ex3_2.htm" TargetMode="External"/><Relationship Id="rId4" Type="http://schemas.openxmlformats.org/officeDocument/2006/relationships/hyperlink" Target="https://www.sec.gov/Archives/edgar/data/2069785/000119312525258610/ck0002069785-ex4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54452</Words>
  <Characters>301655</Characters>
  <CharactersWithSpaces>358353</CharactersWithSpaces>
  <Paragraphs>9364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