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THRIVENT FINANCIAL FOR LUTHERANS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MARQUETTE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55402-3211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4.6427</w:t>
            </w:r>
            <w:r>
              <w:rPr>
                <w:rFonts w:ascii="Times;serif" w:hAnsi="Times;serif"/>
                <w:color w:val="008000"/>
                <w:position w:val="7"/>
                <w:sz w:val="16"/>
                <w:sz w:val="20"/>
                <w:shd w:fill="FFFFFF" w:val="clear"/>
              </w:rPr>
              <w:t>(1)</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4,642,700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4.0124</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4,629,000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3.7634</w:t>
            </w:r>
            <w:r>
              <w:rPr>
                <w:rFonts w:ascii="Times;serif" w:hAnsi="Times;serif"/>
                <w:color w:val="008000"/>
                <w:position w:val="7"/>
                <w:sz w:val="16"/>
                <w:sz w:val="20"/>
                <w:shd w:fill="FFFFFF" w:val="clear"/>
              </w:rPr>
              <w:t>(3)</w:t>
            </w:r>
            <w:r>
              <w:rPr/>
              <w:t xml:space="preserve"> </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4,618,000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$4.44 to $4.76,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$3.89 to $4.22,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in multiple transactions at prices ranging from $3.61 to $3.80,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 Royal, Executive Vice President, Chief Financial and Investment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4984"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789</Words>
  <Characters>4227</Characters>
  <CharactersWithSpaces>4940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